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hint="eastAsia" w:ascii="黑体" w:hAnsi="华文中宋" w:eastAsia="黑体" w:cs="Courier New"/>
          <w:color w:val="auto"/>
          <w:sz w:val="72"/>
          <w:szCs w:val="72"/>
          <w:highlight w:val="none"/>
        </w:rPr>
      </w:pPr>
      <w:r>
        <w:rPr>
          <w:rFonts w:hint="eastAsia" w:ascii="黑体" w:hAnsi="华文中宋" w:eastAsia="黑体" w:cs="Courier New"/>
          <w:color w:val="auto"/>
          <w:sz w:val="72"/>
          <w:szCs w:val="72"/>
          <w:highlight w:val="none"/>
        </w:rPr>
        <w:t xml:space="preserve"> </w:t>
      </w:r>
    </w:p>
    <w:p>
      <w:pPr>
        <w:pStyle w:val="52"/>
        <w:rPr>
          <w:rFonts w:hint="eastAsia"/>
          <w:color w:val="auto"/>
          <w:highlight w:val="none"/>
        </w:rPr>
      </w:pPr>
    </w:p>
    <w:p>
      <w:pPr>
        <w:adjustRightInd/>
        <w:snapToGrid/>
        <w:spacing w:before="156" w:beforeLines="50" w:after="156" w:afterLines="50" w:line="240" w:lineRule="auto"/>
        <w:rPr>
          <w:rFonts w:hint="eastAsia" w:ascii="黑体" w:hAnsi="华文中宋" w:eastAsia="黑体" w:cs="Courier New"/>
          <w:color w:val="auto"/>
          <w:sz w:val="96"/>
          <w:szCs w:val="96"/>
          <w:highlight w:val="none"/>
        </w:rPr>
      </w:pPr>
      <w:r>
        <w:rPr>
          <w:rFonts w:hint="eastAsia" w:ascii="黑体" w:hAnsi="华文中宋" w:eastAsia="黑体" w:cs="Courier New"/>
          <w:color w:val="auto"/>
          <w:sz w:val="72"/>
          <w:szCs w:val="72"/>
          <w:highlight w:val="none"/>
        </w:rPr>
        <w:t xml:space="preserve">   </w:t>
      </w:r>
      <w:r>
        <w:rPr>
          <w:rFonts w:hint="eastAsia" w:ascii="黑体" w:hAnsi="华文中宋" w:eastAsia="黑体" w:cs="Courier New"/>
          <w:color w:val="auto"/>
          <w:sz w:val="96"/>
          <w:szCs w:val="96"/>
          <w:highlight w:val="none"/>
        </w:rPr>
        <w:t>采购询价通知书</w:t>
      </w:r>
    </w:p>
    <w:p>
      <w:pPr>
        <w:pStyle w:val="16"/>
        <w:rPr>
          <w:rFonts w:hint="eastAsia" w:ascii="方正小标宋_GBK" w:hAnsi="华文中宋" w:eastAsia="方正小标宋_GBK"/>
          <w:color w:val="auto"/>
          <w:sz w:val="62"/>
          <w:szCs w:val="84"/>
          <w:highlight w:val="none"/>
        </w:rPr>
      </w:pPr>
    </w:p>
    <w:p>
      <w:pPr>
        <w:pStyle w:val="16"/>
        <w:rPr>
          <w:rFonts w:hint="eastAsia" w:ascii="方正小标宋_GBK" w:hAnsi="华文中宋" w:eastAsia="方正小标宋_GBK"/>
          <w:color w:val="auto"/>
          <w:sz w:val="62"/>
          <w:szCs w:val="84"/>
          <w:highlight w:val="none"/>
        </w:rPr>
      </w:pPr>
    </w:p>
    <w:p>
      <w:pPr>
        <w:keepNext w:val="0"/>
        <w:keepLines w:val="0"/>
        <w:pageBreakBefore w:val="0"/>
        <w:widowControl w:val="0"/>
        <w:tabs>
          <w:tab w:val="left" w:pos="6516"/>
        </w:tabs>
        <w:kinsoku/>
        <w:wordWrap/>
        <w:overflowPunct/>
        <w:topLinePunct w:val="0"/>
        <w:autoSpaceDE/>
        <w:autoSpaceDN/>
        <w:bidi w:val="0"/>
        <w:adjustRightInd w:val="0"/>
        <w:snapToGrid w:val="0"/>
        <w:spacing w:before="156" w:beforeLines="50" w:line="800" w:lineRule="exact"/>
        <w:ind w:left="3066" w:leftChars="456" w:hanging="2108" w:hangingChars="700"/>
        <w:textAlignment w:val="auto"/>
        <w:rPr>
          <w:rFonts w:hint="eastAsia" w:ascii="宋体" w:hAnsi="宋体" w:cs="Courier New"/>
          <w:b/>
          <w:bCs/>
          <w:color w:val="auto"/>
          <w:sz w:val="30"/>
          <w:szCs w:val="30"/>
          <w:highlight w:val="none"/>
          <w:u w:val="single"/>
          <w:lang w:eastAsia="zh-CN"/>
        </w:rPr>
      </w:pPr>
      <w:r>
        <w:rPr>
          <w:rFonts w:hint="eastAsia" w:hAnsi="宋体"/>
          <w:b/>
          <w:bCs/>
          <w:color w:val="auto"/>
          <w:sz w:val="30"/>
          <w:szCs w:val="30"/>
          <w:highlight w:val="none"/>
        </w:rPr>
        <w:t>采购项目名称:</w:t>
      </w:r>
      <w:r>
        <w:rPr>
          <w:rFonts w:hint="eastAsia" w:ascii="宋体" w:hAnsi="宋体" w:cs="Courier New"/>
          <w:b/>
          <w:bCs/>
          <w:color w:val="auto"/>
          <w:sz w:val="30"/>
          <w:szCs w:val="30"/>
          <w:highlight w:val="none"/>
          <w:u w:val="single"/>
          <w:lang w:eastAsia="zh-CN"/>
        </w:rPr>
        <w:t>湖南省涔天河水库扩建工程灌区左、右渠首电站及跌水电站</w:t>
      </w:r>
      <w:r>
        <w:rPr>
          <w:rFonts w:hint="eastAsia" w:ascii="宋体" w:hAnsi="宋体" w:cs="Courier New"/>
          <w:b/>
          <w:bCs/>
          <w:color w:val="auto"/>
          <w:sz w:val="30"/>
          <w:szCs w:val="30"/>
          <w:highlight w:val="none"/>
          <w:u w:val="single"/>
          <w:lang w:val="en-US" w:eastAsia="zh-CN"/>
        </w:rPr>
        <w:t>2023年度</w:t>
      </w:r>
      <w:r>
        <w:rPr>
          <w:rFonts w:hint="eastAsia" w:ascii="宋体" w:hAnsi="宋体" w:cs="Courier New"/>
          <w:b/>
          <w:bCs/>
          <w:color w:val="auto"/>
          <w:sz w:val="30"/>
          <w:szCs w:val="30"/>
          <w:highlight w:val="none"/>
          <w:u w:val="single"/>
          <w:lang w:eastAsia="zh-CN"/>
        </w:rPr>
        <w:t>财产保险采购项目</w:t>
      </w:r>
    </w:p>
    <w:p>
      <w:pPr>
        <w:tabs>
          <w:tab w:val="left" w:pos="6516"/>
        </w:tabs>
        <w:adjustRightInd w:val="0"/>
        <w:snapToGrid w:val="0"/>
        <w:spacing w:before="156" w:beforeLines="50"/>
        <w:ind w:firstLine="904" w:firstLineChars="300"/>
        <w:rPr>
          <w:rFonts w:hint="eastAsia" w:ascii="宋体" w:hAnsi="宋体" w:eastAsia="宋体" w:cs="Courier New"/>
          <w:b/>
          <w:bCs/>
          <w:color w:val="auto"/>
          <w:sz w:val="30"/>
          <w:szCs w:val="30"/>
          <w:highlight w:val="none"/>
          <w:u w:val="single"/>
          <w:lang w:eastAsia="zh-CN"/>
        </w:rPr>
      </w:pPr>
      <w:r>
        <w:rPr>
          <w:rFonts w:hint="eastAsia" w:ascii="宋体" w:hAnsi="宋体" w:cs="Courier New"/>
          <w:b/>
          <w:bCs/>
          <w:color w:val="auto"/>
          <w:sz w:val="30"/>
          <w:szCs w:val="30"/>
          <w:highlight w:val="none"/>
        </w:rPr>
        <w:t>采</w:t>
      </w:r>
      <w:r>
        <w:rPr>
          <w:rFonts w:hint="eastAsia" w:ascii="宋体" w:hAnsi="宋体" w:cs="Courier New"/>
          <w:b/>
          <w:bCs/>
          <w:color w:val="auto"/>
          <w:sz w:val="30"/>
          <w:szCs w:val="30"/>
          <w:highlight w:val="none"/>
          <w:lang w:val="en-US" w:eastAsia="zh-CN"/>
        </w:rPr>
        <w:t xml:space="preserve">  </w:t>
      </w:r>
      <w:r>
        <w:rPr>
          <w:rFonts w:hint="eastAsia" w:ascii="宋体" w:hAnsi="宋体" w:cs="Courier New"/>
          <w:b/>
          <w:bCs/>
          <w:color w:val="auto"/>
          <w:sz w:val="30"/>
          <w:szCs w:val="30"/>
          <w:highlight w:val="none"/>
        </w:rPr>
        <w:t>购</w:t>
      </w:r>
      <w:r>
        <w:rPr>
          <w:rFonts w:hint="eastAsia" w:ascii="宋体" w:hAnsi="宋体" w:cs="Courier New"/>
          <w:b/>
          <w:bCs/>
          <w:color w:val="auto"/>
          <w:sz w:val="30"/>
          <w:szCs w:val="30"/>
          <w:highlight w:val="none"/>
          <w:lang w:val="en-US" w:eastAsia="zh-CN"/>
        </w:rPr>
        <w:t xml:space="preserve">  </w:t>
      </w:r>
      <w:r>
        <w:rPr>
          <w:rFonts w:hint="eastAsia" w:ascii="宋体" w:hAnsi="宋体" w:cs="Courier New"/>
          <w:b/>
          <w:bCs/>
          <w:color w:val="auto"/>
          <w:sz w:val="30"/>
          <w:szCs w:val="30"/>
          <w:highlight w:val="none"/>
        </w:rPr>
        <w:t>人：</w:t>
      </w:r>
      <w:r>
        <w:rPr>
          <w:rFonts w:hint="eastAsia" w:ascii="宋体" w:hAnsi="宋体" w:cs="Courier New"/>
          <w:b/>
          <w:bCs/>
          <w:color w:val="auto"/>
          <w:sz w:val="30"/>
          <w:szCs w:val="30"/>
          <w:highlight w:val="none"/>
          <w:u w:val="single"/>
          <w:lang w:eastAsia="zh-CN"/>
        </w:rPr>
        <w:t>永州涔天河灌区工程建设有限责任公司</w:t>
      </w:r>
    </w:p>
    <w:p>
      <w:pPr>
        <w:pStyle w:val="16"/>
        <w:adjustRightInd w:val="0"/>
        <w:snapToGrid w:val="0"/>
        <w:spacing w:line="360" w:lineRule="auto"/>
        <w:ind w:firstLine="3534" w:firstLineChars="1100"/>
        <w:jc w:val="both"/>
        <w:rPr>
          <w:rFonts w:hint="eastAsia" w:hAnsi="宋体"/>
          <w:b/>
          <w:color w:val="auto"/>
          <w:sz w:val="32"/>
          <w:highlight w:val="none"/>
        </w:rPr>
      </w:pPr>
    </w:p>
    <w:p>
      <w:pPr>
        <w:pStyle w:val="16"/>
        <w:adjustRightInd w:val="0"/>
        <w:snapToGrid w:val="0"/>
        <w:spacing w:line="360" w:lineRule="auto"/>
        <w:ind w:firstLine="3534" w:firstLineChars="1100"/>
        <w:jc w:val="both"/>
        <w:rPr>
          <w:rFonts w:hint="eastAsia" w:hAnsi="宋体"/>
          <w:b/>
          <w:color w:val="auto"/>
          <w:sz w:val="32"/>
          <w:highlight w:val="none"/>
        </w:rPr>
      </w:pPr>
    </w:p>
    <w:p>
      <w:pPr>
        <w:pStyle w:val="16"/>
        <w:adjustRightInd w:val="0"/>
        <w:snapToGrid w:val="0"/>
        <w:spacing w:line="360" w:lineRule="auto"/>
        <w:ind w:firstLine="3534" w:firstLineChars="1100"/>
        <w:jc w:val="both"/>
        <w:rPr>
          <w:rFonts w:hint="eastAsia" w:hAnsi="宋体"/>
          <w:b/>
          <w:color w:val="auto"/>
          <w:sz w:val="32"/>
          <w:highlight w:val="none"/>
        </w:rPr>
      </w:pPr>
    </w:p>
    <w:p>
      <w:pPr>
        <w:pStyle w:val="16"/>
        <w:adjustRightInd w:val="0"/>
        <w:snapToGrid w:val="0"/>
        <w:spacing w:line="360" w:lineRule="auto"/>
        <w:ind w:firstLine="3534" w:firstLineChars="1100"/>
        <w:jc w:val="both"/>
        <w:rPr>
          <w:rFonts w:hint="eastAsia" w:hAnsi="宋体"/>
          <w:b/>
          <w:color w:val="auto"/>
          <w:sz w:val="32"/>
          <w:highlight w:val="none"/>
        </w:rPr>
      </w:pPr>
    </w:p>
    <w:p>
      <w:pPr>
        <w:pStyle w:val="16"/>
        <w:adjustRightInd/>
        <w:snapToGrid/>
        <w:spacing w:before="312" w:beforeLines="100" w:after="312" w:afterLines="100" w:line="600" w:lineRule="exact"/>
        <w:ind w:firstLine="904" w:firstLineChars="300"/>
        <w:jc w:val="center"/>
        <w:rPr>
          <w:rFonts w:hint="eastAsia" w:ascii="宋体" w:hAnsi="宋体" w:eastAsia="宋体"/>
          <w:b/>
          <w:bCs/>
          <w:color w:val="auto"/>
          <w:sz w:val="30"/>
          <w:szCs w:val="30"/>
          <w:highlight w:val="none"/>
          <w:u w:val="none"/>
        </w:rPr>
      </w:pPr>
      <w:r>
        <w:rPr>
          <w:rFonts w:hint="eastAsia" w:ascii="宋体" w:hAnsi="宋体" w:eastAsia="宋体"/>
          <w:b/>
          <w:bCs/>
          <w:color w:val="auto"/>
          <w:sz w:val="30"/>
          <w:szCs w:val="30"/>
          <w:highlight w:val="none"/>
          <w:u w:val="none"/>
        </w:rPr>
        <w:t>202</w:t>
      </w:r>
      <w:r>
        <w:rPr>
          <w:rFonts w:hint="eastAsia" w:hAnsi="宋体"/>
          <w:b/>
          <w:bCs/>
          <w:color w:val="auto"/>
          <w:sz w:val="30"/>
          <w:szCs w:val="30"/>
          <w:highlight w:val="none"/>
          <w:u w:val="none"/>
          <w:lang w:val="en-US" w:eastAsia="zh-CN"/>
        </w:rPr>
        <w:t>3</w:t>
      </w:r>
      <w:r>
        <w:rPr>
          <w:rFonts w:hint="eastAsia" w:ascii="宋体" w:hAnsi="宋体" w:eastAsia="宋体"/>
          <w:b/>
          <w:bCs/>
          <w:color w:val="auto"/>
          <w:sz w:val="30"/>
          <w:szCs w:val="30"/>
          <w:highlight w:val="none"/>
          <w:u w:val="none"/>
        </w:rPr>
        <w:t>年</w:t>
      </w:r>
      <w:r>
        <w:rPr>
          <w:rFonts w:hint="eastAsia" w:hAnsi="宋体"/>
          <w:b/>
          <w:bCs/>
          <w:color w:val="auto"/>
          <w:sz w:val="30"/>
          <w:szCs w:val="30"/>
          <w:highlight w:val="none"/>
          <w:u w:val="none"/>
          <w:lang w:val="en-US" w:eastAsia="zh-CN"/>
        </w:rPr>
        <w:t>10</w:t>
      </w:r>
      <w:r>
        <w:rPr>
          <w:rFonts w:hint="eastAsia" w:ascii="宋体" w:hAnsi="宋体" w:eastAsia="宋体"/>
          <w:b/>
          <w:bCs/>
          <w:color w:val="auto"/>
          <w:sz w:val="30"/>
          <w:szCs w:val="30"/>
          <w:highlight w:val="none"/>
          <w:u w:val="none"/>
        </w:rPr>
        <w:t>月</w:t>
      </w:r>
    </w:p>
    <w:p>
      <w:pPr>
        <w:pStyle w:val="68"/>
        <w:rPr>
          <w:rFonts w:hint="eastAsia"/>
          <w:bCs/>
          <w:color w:val="auto"/>
          <w:sz w:val="24"/>
          <w:highlight w:val="none"/>
          <w:shd w:val="clear" w:color="auto" w:fill="FFFFFF"/>
          <w14:shadow w14:blurRad="50800" w14:dist="38100" w14:dir="2700000" w14:sx="100000" w14:sy="100000" w14:kx="0" w14:ky="0" w14:algn="tl">
            <w14:srgbClr w14:val="000000">
              <w14:alpha w14:val="60000"/>
            </w14:srgbClr>
          </w14:shadow>
        </w:rPr>
      </w:pPr>
    </w:p>
    <w:p>
      <w:pPr>
        <w:pStyle w:val="16"/>
        <w:adjustRightInd w:val="0"/>
        <w:snapToGrid w:val="0"/>
        <w:spacing w:line="360" w:lineRule="auto"/>
        <w:ind w:firstLine="0" w:firstLineChars="0"/>
        <w:rPr>
          <w:rFonts w:hint="eastAsia" w:ascii="黑体" w:hAnsi="宋体" w:eastAsia="黑体"/>
          <w:b/>
          <w:color w:val="auto"/>
          <w:spacing w:val="160"/>
          <w:sz w:val="32"/>
          <w:szCs w:val="32"/>
          <w:highlight w:val="none"/>
        </w:rPr>
      </w:pPr>
      <w:r>
        <w:rPr>
          <w:rFonts w:hint="eastAsia"/>
          <w:bCs/>
          <w:color w:val="auto"/>
          <w:sz w:val="24"/>
          <w:highlight w:val="none"/>
          <w:shd w:val="clear" w:color="auto" w:fill="FFFFFF"/>
          <w14:shadow w14:blurRad="50800" w14:dist="38100" w14:dir="2700000" w14:sx="100000" w14:sy="100000" w14:kx="0" w14:ky="0" w14:algn="tl">
            <w14:srgbClr w14:val="000000">
              <w14:alpha w14:val="60000"/>
            </w14:srgbClr>
          </w14:shadow>
        </w:rPr>
        <w:t>*电子版文件和纸质版文件有出入时，以纸质版文件为准。</w:t>
      </w:r>
    </w:p>
    <w:p>
      <w:pPr>
        <w:pStyle w:val="16"/>
        <w:adjustRightInd w:val="0"/>
        <w:snapToGrid w:val="0"/>
        <w:spacing w:line="360" w:lineRule="auto"/>
        <w:jc w:val="center"/>
        <w:rPr>
          <w:rFonts w:hint="eastAsia" w:ascii="方正小标宋_GBK" w:hAnsi="宋体" w:eastAsia="方正小标宋_GBK"/>
          <w:color w:val="auto"/>
          <w:spacing w:val="160"/>
          <w:sz w:val="36"/>
          <w:szCs w:val="36"/>
          <w:highlight w:val="none"/>
        </w:rPr>
        <w:sectPr>
          <w:headerReference r:id="rId3" w:type="default"/>
          <w:footerReference r:id="rId4" w:type="default"/>
          <w:pgSz w:w="11906" w:h="16838"/>
          <w:pgMar w:top="1440" w:right="1286" w:bottom="1440" w:left="2160" w:header="794" w:footer="992" w:gutter="0"/>
          <w:cols w:space="720" w:num="1"/>
          <w:docGrid w:type="lines" w:linePitch="312" w:charSpace="0"/>
        </w:sectPr>
      </w:pPr>
    </w:p>
    <w:p>
      <w:pPr>
        <w:pStyle w:val="16"/>
        <w:adjustRightInd w:val="0"/>
        <w:snapToGrid w:val="0"/>
        <w:spacing w:line="360" w:lineRule="auto"/>
        <w:jc w:val="center"/>
        <w:rPr>
          <w:rFonts w:hint="eastAsia" w:ascii="方正小标宋_GBK" w:hAnsi="宋体" w:eastAsia="方正小标宋_GBK"/>
          <w:color w:val="auto"/>
          <w:spacing w:val="160"/>
          <w:sz w:val="36"/>
          <w:szCs w:val="36"/>
          <w:highlight w:val="none"/>
        </w:rPr>
      </w:pPr>
      <w:r>
        <w:rPr>
          <w:rFonts w:hint="eastAsia" w:ascii="方正小标宋_GBK" w:hAnsi="宋体" w:eastAsia="方正小标宋_GBK"/>
          <w:color w:val="auto"/>
          <w:spacing w:val="160"/>
          <w:sz w:val="36"/>
          <w:szCs w:val="36"/>
          <w:highlight w:val="none"/>
        </w:rPr>
        <w:t>目录</w:t>
      </w:r>
    </w:p>
    <w:p>
      <w:pPr>
        <w:pStyle w:val="16"/>
        <w:adjustRightInd w:val="0"/>
        <w:snapToGrid w:val="0"/>
        <w:spacing w:line="360" w:lineRule="auto"/>
        <w:rPr>
          <w:rFonts w:hint="eastAsia" w:hAnsi="宋体"/>
          <w:b/>
          <w:color w:val="auto"/>
          <w:sz w:val="24"/>
          <w:szCs w:val="24"/>
          <w:highlight w:val="none"/>
        </w:rPr>
      </w:pPr>
    </w:p>
    <w:p>
      <w:pPr>
        <w:pStyle w:val="16"/>
        <w:adjustRightInd w:val="0"/>
        <w:snapToGrid w:val="0"/>
        <w:spacing w:line="580" w:lineRule="exact"/>
        <w:rPr>
          <w:rFonts w:hint="eastAsia" w:hAnsi="宋体"/>
          <w:b/>
          <w:color w:val="auto"/>
          <w:sz w:val="24"/>
          <w:szCs w:val="24"/>
          <w:highlight w:val="none"/>
        </w:rPr>
      </w:pPr>
      <w:r>
        <w:rPr>
          <w:rFonts w:hint="eastAsia" w:hAnsi="宋体"/>
          <w:b/>
          <w:color w:val="auto"/>
          <w:sz w:val="24"/>
          <w:szCs w:val="24"/>
          <w:highlight w:val="none"/>
        </w:rPr>
        <w:t>第一章  询价通知</w:t>
      </w:r>
    </w:p>
    <w:p>
      <w:pPr>
        <w:pStyle w:val="16"/>
        <w:adjustRightInd w:val="0"/>
        <w:snapToGrid w:val="0"/>
        <w:spacing w:line="580" w:lineRule="exact"/>
        <w:rPr>
          <w:rFonts w:hint="eastAsia" w:hAnsi="宋体"/>
          <w:b/>
          <w:color w:val="auto"/>
          <w:sz w:val="24"/>
          <w:szCs w:val="24"/>
          <w:highlight w:val="none"/>
        </w:rPr>
      </w:pPr>
      <w:r>
        <w:rPr>
          <w:rFonts w:hint="eastAsia" w:hAnsi="宋体"/>
          <w:b/>
          <w:color w:val="auto"/>
          <w:sz w:val="24"/>
          <w:szCs w:val="24"/>
          <w:highlight w:val="none"/>
        </w:rPr>
        <w:t>第二章  询价须知</w:t>
      </w:r>
    </w:p>
    <w:p>
      <w:pPr>
        <w:tabs>
          <w:tab w:val="left" w:pos="1440"/>
        </w:tabs>
        <w:adjustRightInd w:val="0"/>
        <w:snapToGrid w:val="0"/>
        <w:spacing w:line="5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询价须知前附表</w:t>
      </w:r>
    </w:p>
    <w:p>
      <w:pPr>
        <w:tabs>
          <w:tab w:val="left" w:pos="1440"/>
        </w:tabs>
        <w:adjustRightInd w:val="0"/>
        <w:snapToGrid w:val="0"/>
        <w:spacing w:line="5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询价须知正文</w:t>
      </w:r>
    </w:p>
    <w:p>
      <w:pPr>
        <w:tabs>
          <w:tab w:val="left" w:pos="1440"/>
        </w:tabs>
        <w:adjustRightInd w:val="0"/>
        <w:snapToGrid w:val="0"/>
        <w:spacing w:line="580" w:lineRule="exact"/>
        <w:ind w:firstLine="630" w:firstLineChars="300"/>
        <w:rPr>
          <w:rFonts w:hint="eastAsia" w:ascii="宋体" w:hAnsi="宋体"/>
          <w:color w:val="auto"/>
          <w:szCs w:val="21"/>
          <w:highlight w:val="none"/>
        </w:rPr>
      </w:pPr>
      <w:r>
        <w:rPr>
          <w:rFonts w:hint="eastAsia" w:ascii="宋体" w:hAnsi="宋体"/>
          <w:color w:val="auto"/>
          <w:szCs w:val="21"/>
          <w:highlight w:val="none"/>
        </w:rPr>
        <w:t>一、说明</w:t>
      </w:r>
    </w:p>
    <w:p>
      <w:pPr>
        <w:tabs>
          <w:tab w:val="left" w:pos="1440"/>
        </w:tabs>
        <w:adjustRightInd w:val="0"/>
        <w:snapToGrid w:val="0"/>
        <w:spacing w:line="580" w:lineRule="exact"/>
        <w:ind w:firstLine="630" w:firstLineChars="300"/>
        <w:rPr>
          <w:rFonts w:hint="eastAsia" w:ascii="宋体" w:hAnsi="宋体"/>
          <w:color w:val="auto"/>
          <w:szCs w:val="21"/>
          <w:highlight w:val="none"/>
        </w:rPr>
      </w:pPr>
      <w:r>
        <w:rPr>
          <w:rFonts w:hint="eastAsia" w:ascii="宋体" w:hAnsi="宋体"/>
          <w:color w:val="auto"/>
          <w:szCs w:val="21"/>
          <w:highlight w:val="none"/>
        </w:rPr>
        <w:t>二、</w:t>
      </w:r>
      <w:r>
        <w:rPr>
          <w:rFonts w:hint="eastAsia" w:ascii="宋体" w:hAnsi="宋体"/>
          <w:bCs/>
          <w:color w:val="auto"/>
          <w:szCs w:val="21"/>
          <w:highlight w:val="none"/>
        </w:rPr>
        <w:t>询价通知书</w:t>
      </w:r>
    </w:p>
    <w:p>
      <w:pPr>
        <w:adjustRightInd w:val="0"/>
        <w:snapToGrid w:val="0"/>
        <w:spacing w:line="580" w:lineRule="exact"/>
        <w:ind w:firstLine="630" w:firstLineChars="300"/>
        <w:rPr>
          <w:rFonts w:hint="eastAsia" w:ascii="宋体" w:hAnsi="宋体"/>
          <w:color w:val="auto"/>
          <w:szCs w:val="21"/>
          <w:highlight w:val="none"/>
        </w:rPr>
      </w:pPr>
      <w:r>
        <w:rPr>
          <w:rFonts w:hint="eastAsia" w:ascii="宋体" w:hAnsi="宋体"/>
          <w:color w:val="auto"/>
          <w:szCs w:val="21"/>
          <w:highlight w:val="none"/>
        </w:rPr>
        <w:t>三、响应文件</w:t>
      </w:r>
    </w:p>
    <w:p>
      <w:pPr>
        <w:adjustRightInd w:val="0"/>
        <w:snapToGrid w:val="0"/>
        <w:spacing w:line="580" w:lineRule="exact"/>
        <w:ind w:firstLine="630" w:firstLineChars="300"/>
        <w:rPr>
          <w:rFonts w:hint="eastAsia" w:ascii="宋体" w:hAnsi="宋体"/>
          <w:color w:val="auto"/>
          <w:szCs w:val="21"/>
          <w:highlight w:val="none"/>
        </w:rPr>
      </w:pPr>
      <w:r>
        <w:rPr>
          <w:rFonts w:hint="eastAsia" w:ascii="宋体" w:hAnsi="宋体"/>
          <w:color w:val="auto"/>
          <w:szCs w:val="21"/>
          <w:highlight w:val="none"/>
        </w:rPr>
        <w:t>四、响应文件的递交</w:t>
      </w:r>
    </w:p>
    <w:p>
      <w:pPr>
        <w:adjustRightInd w:val="0"/>
        <w:snapToGrid w:val="0"/>
        <w:spacing w:line="580" w:lineRule="exact"/>
        <w:ind w:firstLine="630" w:firstLineChars="300"/>
        <w:rPr>
          <w:rFonts w:hint="eastAsia" w:ascii="宋体" w:hAnsi="宋体"/>
          <w:bCs/>
          <w:color w:val="auto"/>
          <w:szCs w:val="21"/>
          <w:highlight w:val="none"/>
        </w:rPr>
      </w:pPr>
      <w:r>
        <w:rPr>
          <w:rFonts w:hint="eastAsia" w:ascii="宋体" w:hAnsi="宋体"/>
          <w:bCs/>
          <w:color w:val="auto"/>
          <w:szCs w:val="21"/>
          <w:highlight w:val="none"/>
        </w:rPr>
        <w:t>五、</w:t>
      </w:r>
      <w:r>
        <w:rPr>
          <w:rFonts w:hint="eastAsia" w:ascii="宋体" w:hAnsi="宋体"/>
          <w:color w:val="auto"/>
          <w:szCs w:val="21"/>
          <w:highlight w:val="none"/>
        </w:rPr>
        <w:t>响应文件</w:t>
      </w:r>
      <w:r>
        <w:rPr>
          <w:rFonts w:hint="eastAsia" w:ascii="宋体" w:hAnsi="宋体"/>
          <w:bCs/>
          <w:color w:val="auto"/>
          <w:szCs w:val="21"/>
          <w:highlight w:val="none"/>
        </w:rPr>
        <w:t>的</w:t>
      </w:r>
      <w:r>
        <w:rPr>
          <w:rFonts w:hint="eastAsia" w:ascii="宋体" w:hAnsi="宋体"/>
          <w:color w:val="auto"/>
          <w:szCs w:val="21"/>
          <w:highlight w:val="none"/>
        </w:rPr>
        <w:t>评审</w:t>
      </w:r>
    </w:p>
    <w:p>
      <w:pPr>
        <w:adjustRightInd w:val="0"/>
        <w:snapToGrid w:val="0"/>
        <w:spacing w:line="580" w:lineRule="exact"/>
        <w:ind w:firstLine="630" w:firstLineChars="300"/>
        <w:rPr>
          <w:rFonts w:hint="eastAsia" w:ascii="宋体" w:hAnsi="宋体"/>
          <w:color w:val="auto"/>
          <w:szCs w:val="21"/>
          <w:highlight w:val="none"/>
        </w:rPr>
      </w:pPr>
      <w:r>
        <w:rPr>
          <w:rFonts w:hint="eastAsia" w:ascii="宋体" w:hAnsi="宋体"/>
          <w:color w:val="auto"/>
          <w:szCs w:val="21"/>
          <w:highlight w:val="none"/>
        </w:rPr>
        <w:t>六、成交结果信息公布与授予合同</w:t>
      </w:r>
    </w:p>
    <w:p>
      <w:pPr>
        <w:adjustRightInd w:val="0"/>
        <w:snapToGrid w:val="0"/>
        <w:spacing w:line="580" w:lineRule="exact"/>
        <w:ind w:firstLine="630" w:firstLineChars="300"/>
        <w:jc w:val="left"/>
        <w:rPr>
          <w:rFonts w:hint="eastAsia" w:ascii="宋体" w:hAnsi="宋体"/>
          <w:color w:val="auto"/>
          <w:szCs w:val="21"/>
          <w:highlight w:val="none"/>
        </w:rPr>
      </w:pPr>
      <w:r>
        <w:rPr>
          <w:rFonts w:hint="eastAsia" w:ascii="宋体" w:hAnsi="宋体"/>
          <w:color w:val="auto"/>
          <w:szCs w:val="21"/>
          <w:highlight w:val="none"/>
        </w:rPr>
        <w:t>七、其他规定</w:t>
      </w:r>
    </w:p>
    <w:p>
      <w:pPr>
        <w:adjustRightInd w:val="0"/>
        <w:snapToGrid w:val="0"/>
        <w:spacing w:line="580" w:lineRule="exact"/>
        <w:rPr>
          <w:rFonts w:hint="eastAsia"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eastAsia="zh-CN"/>
        </w:rPr>
        <w:t>三</w:t>
      </w:r>
      <w:r>
        <w:rPr>
          <w:rFonts w:hint="eastAsia" w:ascii="宋体" w:hAnsi="宋体"/>
          <w:b/>
          <w:color w:val="auto"/>
          <w:sz w:val="24"/>
          <w:highlight w:val="none"/>
        </w:rPr>
        <w:t xml:space="preserve">章  </w:t>
      </w:r>
      <w:r>
        <w:rPr>
          <w:rFonts w:hint="eastAsia" w:ascii="宋体" w:hAnsi="宋体"/>
          <w:b/>
          <w:color w:val="auto"/>
          <w:sz w:val="24"/>
          <w:highlight w:val="none"/>
          <w:lang w:eastAsia="zh-CN"/>
        </w:rPr>
        <w:t>采购</w:t>
      </w:r>
      <w:r>
        <w:rPr>
          <w:rFonts w:hint="eastAsia" w:ascii="宋体" w:hAnsi="宋体"/>
          <w:b/>
          <w:color w:val="auto"/>
          <w:sz w:val="24"/>
          <w:highlight w:val="none"/>
        </w:rPr>
        <w:t>合同格式</w:t>
      </w:r>
    </w:p>
    <w:p>
      <w:pPr>
        <w:adjustRightInd w:val="0"/>
        <w:snapToGrid w:val="0"/>
        <w:spacing w:line="580" w:lineRule="exact"/>
        <w:rPr>
          <w:rFonts w:hint="eastAsia" w:ascii="宋体" w:hAnsi="宋体"/>
          <w:b/>
          <w:color w:val="auto"/>
          <w:sz w:val="24"/>
          <w:highlight w:val="none"/>
        </w:rPr>
      </w:pPr>
      <w:r>
        <w:rPr>
          <w:rFonts w:hint="eastAsia" w:ascii="宋体" w:hAnsi="宋体"/>
          <w:b/>
          <w:color w:val="auto"/>
          <w:sz w:val="24"/>
          <w:highlight w:val="none"/>
        </w:rPr>
        <w:t>第</w:t>
      </w:r>
      <w:r>
        <w:rPr>
          <w:rFonts w:hint="eastAsia" w:ascii="宋体" w:hAnsi="宋体"/>
          <w:b/>
          <w:color w:val="auto"/>
          <w:sz w:val="24"/>
          <w:highlight w:val="none"/>
          <w:lang w:eastAsia="zh-CN"/>
        </w:rPr>
        <w:t>四</w:t>
      </w:r>
      <w:r>
        <w:rPr>
          <w:rFonts w:hint="eastAsia" w:ascii="宋体" w:hAnsi="宋体"/>
          <w:b/>
          <w:color w:val="auto"/>
          <w:sz w:val="24"/>
          <w:highlight w:val="none"/>
        </w:rPr>
        <w:t xml:space="preserve">章  </w:t>
      </w:r>
      <w:r>
        <w:rPr>
          <w:rFonts w:hint="eastAsia" w:ascii="宋体" w:hAnsi="宋体"/>
          <w:b/>
          <w:color w:val="auto"/>
          <w:sz w:val="24"/>
          <w:highlight w:val="none"/>
          <w:lang w:eastAsia="zh-CN"/>
        </w:rPr>
        <w:t>采购</w:t>
      </w:r>
      <w:r>
        <w:rPr>
          <w:rFonts w:hint="eastAsia" w:ascii="宋体" w:hAnsi="宋体"/>
          <w:b/>
          <w:color w:val="auto"/>
          <w:sz w:val="24"/>
          <w:highlight w:val="none"/>
        </w:rPr>
        <w:t>合同格式</w:t>
      </w:r>
    </w:p>
    <w:p>
      <w:pPr>
        <w:pStyle w:val="16"/>
        <w:adjustRightInd w:val="0"/>
        <w:snapToGrid w:val="0"/>
        <w:spacing w:line="580" w:lineRule="exact"/>
        <w:rPr>
          <w:rFonts w:hint="eastAsia" w:hAnsi="宋体"/>
          <w:b/>
          <w:color w:val="auto"/>
          <w:sz w:val="24"/>
          <w:szCs w:val="24"/>
          <w:highlight w:val="none"/>
        </w:rPr>
      </w:pPr>
      <w:r>
        <w:rPr>
          <w:rFonts w:hint="eastAsia" w:hAnsi="宋体"/>
          <w:b/>
          <w:color w:val="auto"/>
          <w:sz w:val="24"/>
          <w:szCs w:val="24"/>
          <w:highlight w:val="none"/>
        </w:rPr>
        <w:t>第</w:t>
      </w:r>
      <w:r>
        <w:rPr>
          <w:rFonts w:hint="eastAsia" w:hAnsi="宋体"/>
          <w:b/>
          <w:color w:val="auto"/>
          <w:sz w:val="24"/>
          <w:szCs w:val="24"/>
          <w:highlight w:val="none"/>
          <w:lang w:eastAsia="zh-CN"/>
        </w:rPr>
        <w:t>五</w:t>
      </w:r>
      <w:r>
        <w:rPr>
          <w:rFonts w:hint="eastAsia" w:hAnsi="宋体"/>
          <w:b/>
          <w:color w:val="auto"/>
          <w:sz w:val="24"/>
          <w:szCs w:val="24"/>
          <w:highlight w:val="none"/>
        </w:rPr>
        <w:t>章  采购需求</w:t>
      </w:r>
    </w:p>
    <w:p>
      <w:pPr>
        <w:autoSpaceDE w:val="0"/>
        <w:autoSpaceDN w:val="0"/>
        <w:adjustRightInd w:val="0"/>
        <w:snapToGrid w:val="0"/>
        <w:spacing w:line="580" w:lineRule="exact"/>
        <w:rPr>
          <w:rFonts w:hint="eastAsia" w:ascii="宋体" w:hAnsi="宋体"/>
          <w:b/>
          <w:color w:val="auto"/>
          <w:sz w:val="24"/>
          <w:highlight w:val="none"/>
        </w:rPr>
      </w:pPr>
      <w:r>
        <w:rPr>
          <w:rFonts w:hint="eastAsia" w:hAnsi="宋体"/>
          <w:b/>
          <w:color w:val="auto"/>
          <w:sz w:val="24"/>
          <w:highlight w:val="none"/>
        </w:rPr>
        <w:t>第</w:t>
      </w:r>
      <w:r>
        <w:rPr>
          <w:rFonts w:hint="eastAsia" w:hAnsi="宋体"/>
          <w:b/>
          <w:color w:val="auto"/>
          <w:sz w:val="24"/>
          <w:highlight w:val="none"/>
          <w:lang w:eastAsia="zh-CN"/>
        </w:rPr>
        <w:t>六</w:t>
      </w:r>
      <w:r>
        <w:rPr>
          <w:rFonts w:hint="eastAsia" w:hAnsi="宋体"/>
          <w:b/>
          <w:color w:val="auto"/>
          <w:sz w:val="24"/>
          <w:highlight w:val="none"/>
        </w:rPr>
        <w:t xml:space="preserve">章  </w:t>
      </w:r>
      <w:r>
        <w:rPr>
          <w:rFonts w:hint="eastAsia" w:ascii="宋体" w:hAnsi="宋体"/>
          <w:b/>
          <w:color w:val="auto"/>
          <w:sz w:val="24"/>
          <w:highlight w:val="none"/>
        </w:rPr>
        <w:t>响应文件组成</w:t>
      </w: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rPr>
          <w:rFonts w:hint="eastAsia" w:ascii="黑体" w:eastAsia="黑体"/>
          <w:b/>
          <w:color w:val="auto"/>
          <w:sz w:val="24"/>
          <w:highlight w:val="none"/>
        </w:rPr>
      </w:pPr>
    </w:p>
    <w:p>
      <w:pPr>
        <w:spacing w:line="360" w:lineRule="exact"/>
        <w:jc w:val="center"/>
        <w:rPr>
          <w:rFonts w:hint="eastAsia" w:ascii="黑体" w:hAnsi="宋体" w:eastAsia="黑体"/>
          <w:color w:val="auto"/>
          <w:sz w:val="32"/>
          <w:szCs w:val="32"/>
          <w:highlight w:val="none"/>
        </w:rPr>
        <w:sectPr>
          <w:footerReference r:id="rId5" w:type="default"/>
          <w:pgSz w:w="11906" w:h="16838"/>
          <w:pgMar w:top="1440" w:right="1286" w:bottom="1440" w:left="2160" w:header="794" w:footer="992" w:gutter="0"/>
          <w:pgNumType w:fmt="decimal" w:start="1"/>
          <w:cols w:space="720" w:num="1"/>
          <w:docGrid w:type="lines" w:linePitch="312" w:charSpace="0"/>
        </w:sectPr>
      </w:pPr>
    </w:p>
    <w:p>
      <w:pPr>
        <w:numPr>
          <w:ilvl w:val="0"/>
          <w:numId w:val="2"/>
        </w:numPr>
        <w:adjustRightInd w:val="0"/>
        <w:snapToGrid w:val="0"/>
        <w:spacing w:before="156" w:beforeLines="50" w:line="360" w:lineRule="auto"/>
        <w:ind w:firstLine="643" w:firstLineChars="200"/>
        <w:jc w:val="center"/>
        <w:rPr>
          <w:rFonts w:hint="eastAsia" w:ascii="黑体" w:hAnsi="宋体" w:eastAsia="黑体"/>
          <w:b/>
          <w:color w:val="auto"/>
          <w:sz w:val="32"/>
          <w:szCs w:val="32"/>
          <w:highlight w:val="none"/>
        </w:rPr>
      </w:pPr>
      <w:r>
        <w:rPr>
          <w:rFonts w:hint="eastAsia" w:ascii="黑体" w:hAnsi="宋体" w:eastAsia="黑体"/>
          <w:b/>
          <w:color w:val="auto"/>
          <w:sz w:val="32"/>
          <w:szCs w:val="32"/>
          <w:highlight w:val="none"/>
        </w:rPr>
        <w:t>询价</w:t>
      </w:r>
      <w:r>
        <w:rPr>
          <w:rFonts w:hint="eastAsia" w:ascii="黑体" w:hAnsi="宋体" w:eastAsia="黑体"/>
          <w:b/>
          <w:color w:val="auto"/>
          <w:sz w:val="32"/>
          <w:szCs w:val="32"/>
          <w:highlight w:val="none"/>
          <w:lang w:val="en-US" w:eastAsia="zh-CN"/>
        </w:rPr>
        <w:t>邀请</w:t>
      </w:r>
    </w:p>
    <w:p>
      <w:pPr>
        <w:adjustRightInd w:val="0"/>
        <w:snapToGrid w:val="0"/>
        <w:spacing w:beforeLines="0"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eastAsia="zh-CN"/>
        </w:rPr>
        <w:t>各投标人：</w:t>
      </w:r>
    </w:p>
    <w:p>
      <w:pPr>
        <w:adjustRightInd w:val="0"/>
        <w:snapToGrid w:val="0"/>
        <w:spacing w:beforeLines="0" w:line="360" w:lineRule="auto"/>
        <w:ind w:firstLine="420" w:firstLineChars="200"/>
        <w:rPr>
          <w:rFonts w:ascii="宋体" w:hAnsi="宋体"/>
          <w:color w:val="auto"/>
          <w:szCs w:val="21"/>
          <w:highlight w:val="none"/>
        </w:rPr>
      </w:pPr>
      <w:r>
        <w:rPr>
          <w:rFonts w:hint="eastAsia" w:ascii="宋体" w:hAnsi="宋体"/>
          <w:color w:val="auto"/>
          <w:highlight w:val="none"/>
          <w:u w:val="single"/>
          <w:lang w:eastAsia="zh-CN"/>
        </w:rPr>
        <w:t>永州涔天河灌区工程建设有限责任公司</w:t>
      </w:r>
      <w:r>
        <w:rPr>
          <w:rFonts w:hint="eastAsia" w:ascii="宋体" w:hAnsi="宋体"/>
          <w:color w:val="auto"/>
          <w:szCs w:val="21"/>
          <w:highlight w:val="none"/>
        </w:rPr>
        <w:t>的</w:t>
      </w:r>
      <w:r>
        <w:rPr>
          <w:rFonts w:hint="eastAsia" w:ascii="宋体" w:hAnsi="宋体"/>
          <w:color w:val="auto"/>
          <w:szCs w:val="21"/>
          <w:highlight w:val="none"/>
          <w:lang w:val="en-US" w:eastAsia="zh-CN"/>
        </w:rPr>
        <w:t xml:space="preserve"> </w:t>
      </w:r>
      <w:r>
        <w:rPr>
          <w:rFonts w:hint="eastAsia" w:ascii="宋体" w:hAnsi="宋体"/>
          <w:color w:val="auto"/>
          <w:highlight w:val="none"/>
          <w:u w:val="single"/>
          <w:lang w:eastAsia="zh-CN"/>
        </w:rPr>
        <w:t>湖南省涔天河水库扩建工程灌区左、右渠首电站及跌水电站2023年度财产保险采购项目</w:t>
      </w:r>
      <w:r>
        <w:rPr>
          <w:rFonts w:hint="eastAsia" w:ascii="宋体" w:hAnsi="宋体"/>
          <w:color w:val="auto"/>
          <w:szCs w:val="21"/>
          <w:highlight w:val="none"/>
        </w:rPr>
        <w:t>进行询价采购</w:t>
      </w:r>
      <w:r>
        <w:rPr>
          <w:rFonts w:hint="eastAsia" w:ascii="宋体" w:hAnsi="宋体"/>
          <w:color w:val="auto"/>
          <w:szCs w:val="21"/>
          <w:highlight w:val="none"/>
          <w:lang w:eastAsia="zh-CN"/>
        </w:rPr>
        <w:t>，</w:t>
      </w:r>
      <w:r>
        <w:rPr>
          <w:rFonts w:hint="eastAsia" w:ascii="宋体" w:hAnsi="宋体"/>
          <w:color w:val="auto"/>
          <w:szCs w:val="21"/>
          <w:highlight w:val="none"/>
        </w:rPr>
        <w:t>邀请你单位参加询价采购活动。</w:t>
      </w:r>
    </w:p>
    <w:p>
      <w:pPr>
        <w:pStyle w:val="6"/>
        <w:adjustRightInd w:val="0"/>
        <w:snapToGrid w:val="0"/>
        <w:spacing w:before="0" w:beforeLines="0" w:after="0" w:line="360" w:lineRule="auto"/>
        <w:jc w:val="left"/>
        <w:rPr>
          <w:rFonts w:ascii="黑体" w:hAnsi="黑体" w:eastAsia="黑体"/>
          <w:b/>
          <w:bCs/>
          <w:color w:val="auto"/>
          <w:highlight w:val="none"/>
        </w:rPr>
      </w:pPr>
      <w:bookmarkStart w:id="0" w:name="_Toc22201055"/>
      <w:bookmarkStart w:id="1" w:name="_Toc34637752"/>
      <w:r>
        <w:rPr>
          <w:rFonts w:hint="eastAsia" w:ascii="黑体" w:hAnsi="黑体" w:eastAsia="黑体"/>
          <w:b/>
          <w:bCs/>
          <w:color w:val="auto"/>
          <w:highlight w:val="none"/>
        </w:rPr>
        <w:t>一、采购项目名称、编号</w:t>
      </w:r>
      <w:bookmarkEnd w:id="0"/>
      <w:bookmarkEnd w:id="1"/>
    </w:p>
    <w:p>
      <w:pPr>
        <w:adjustRightInd w:val="0"/>
        <w:snapToGrid w:val="0"/>
        <w:spacing w:beforeLines="0" w:line="360" w:lineRule="auto"/>
        <w:ind w:firstLine="420" w:firstLineChars="200"/>
        <w:rPr>
          <w:rFonts w:ascii="宋体" w:hAnsi="宋体"/>
          <w:i/>
          <w:color w:val="auto"/>
          <w:szCs w:val="21"/>
          <w:highlight w:val="none"/>
        </w:rPr>
      </w:pPr>
      <w:r>
        <w:rPr>
          <w:rFonts w:hint="eastAsia" w:ascii="宋体" w:hAnsi="宋体"/>
          <w:color w:val="auto"/>
          <w:szCs w:val="21"/>
          <w:highlight w:val="none"/>
        </w:rPr>
        <w:t>1、采购项目名称：</w:t>
      </w:r>
      <w:r>
        <w:rPr>
          <w:rFonts w:hint="eastAsia" w:ascii="宋体" w:hAnsi="宋体"/>
          <w:color w:val="auto"/>
          <w:szCs w:val="21"/>
          <w:highlight w:val="none"/>
          <w:u w:val="single"/>
        </w:rPr>
        <w:t xml:space="preserve"> </w:t>
      </w:r>
      <w:r>
        <w:rPr>
          <w:rFonts w:hint="eastAsia" w:ascii="宋体" w:hAnsi="宋体"/>
          <w:color w:val="auto"/>
          <w:highlight w:val="none"/>
          <w:u w:val="single"/>
          <w:lang w:eastAsia="zh-CN"/>
        </w:rPr>
        <w:t>湖南省涔天河水库扩建工程灌区左、右渠首电站及跌水电站2023年度财产保险采购项目</w:t>
      </w:r>
      <w:r>
        <w:rPr>
          <w:rFonts w:hint="eastAsia" w:ascii="宋体" w:hAnsi="宋体"/>
          <w:color w:val="auto"/>
          <w:szCs w:val="21"/>
          <w:highlight w:val="none"/>
        </w:rPr>
        <w:t xml:space="preserve"> </w:t>
      </w:r>
    </w:p>
    <w:p>
      <w:pPr>
        <w:pStyle w:val="6"/>
        <w:adjustRightInd w:val="0"/>
        <w:snapToGrid w:val="0"/>
        <w:spacing w:before="0" w:beforeLines="0" w:after="0" w:line="360" w:lineRule="auto"/>
        <w:jc w:val="left"/>
        <w:rPr>
          <w:rFonts w:ascii="黑体" w:hAnsi="黑体" w:eastAsia="黑体"/>
          <w:b/>
          <w:bCs/>
          <w:color w:val="auto"/>
          <w:highlight w:val="none"/>
        </w:rPr>
      </w:pPr>
      <w:bookmarkStart w:id="2" w:name="_Toc22201056"/>
      <w:bookmarkStart w:id="3" w:name="_Toc34637753"/>
      <w:r>
        <w:rPr>
          <w:rFonts w:hint="eastAsia" w:ascii="黑体" w:hAnsi="黑体" w:eastAsia="黑体"/>
          <w:b/>
          <w:bCs/>
          <w:color w:val="auto"/>
          <w:highlight w:val="none"/>
        </w:rPr>
        <w:t>二、采购人的采购需求</w:t>
      </w:r>
      <w:bookmarkEnd w:id="2"/>
      <w:bookmarkEnd w:id="3"/>
    </w:p>
    <w:tbl>
      <w:tblPr>
        <w:tblStyle w:val="29"/>
        <w:tblW w:w="8557" w:type="dxa"/>
        <w:tblInd w:w="18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46"/>
        <w:gridCol w:w="3639"/>
        <w:gridCol w:w="1385"/>
        <w:gridCol w:w="997"/>
        <w:gridCol w:w="189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28" w:hRule="atLeast"/>
        </w:trPr>
        <w:tc>
          <w:tcPr>
            <w:tcW w:w="646" w:type="dxa"/>
            <w:tcBorders>
              <w:right w:val="single" w:color="auto" w:sz="4" w:space="0"/>
            </w:tcBorders>
            <w:noWrap w:val="0"/>
            <w:vAlign w:val="center"/>
          </w:tcPr>
          <w:p>
            <w:pPr>
              <w:widowControl/>
              <w:adjustRightInd w:val="0"/>
              <w:snapToGrid w:val="0"/>
              <w:spacing w:before="50"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3639" w:type="dxa"/>
            <w:tcBorders>
              <w:left w:val="single" w:color="auto" w:sz="4" w:space="0"/>
            </w:tcBorders>
            <w:noWrap w:val="0"/>
            <w:vAlign w:val="center"/>
          </w:tcPr>
          <w:p>
            <w:pPr>
              <w:widowControl/>
              <w:adjustRightInd w:val="0"/>
              <w:snapToGrid w:val="0"/>
              <w:spacing w:before="50"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包名称</w:t>
            </w:r>
          </w:p>
        </w:tc>
        <w:tc>
          <w:tcPr>
            <w:tcW w:w="1385" w:type="dxa"/>
            <w:tcBorders>
              <w:right w:val="single" w:color="auto" w:sz="4" w:space="0"/>
            </w:tcBorders>
            <w:noWrap w:val="0"/>
            <w:vAlign w:val="center"/>
          </w:tcPr>
          <w:p>
            <w:pPr>
              <w:widowControl/>
              <w:adjustRightInd w:val="0"/>
              <w:snapToGrid w:val="0"/>
              <w:spacing w:before="50"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简要技术要求</w:t>
            </w:r>
          </w:p>
        </w:tc>
        <w:tc>
          <w:tcPr>
            <w:tcW w:w="997" w:type="dxa"/>
            <w:tcBorders>
              <w:left w:val="single" w:color="auto" w:sz="4" w:space="0"/>
              <w:right w:val="single" w:color="auto" w:sz="4" w:space="0"/>
            </w:tcBorders>
            <w:noWrap w:val="0"/>
            <w:vAlign w:val="center"/>
          </w:tcPr>
          <w:p>
            <w:pPr>
              <w:widowControl/>
              <w:adjustRightInd w:val="0"/>
              <w:snapToGrid w:val="0"/>
              <w:spacing w:before="50"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90" w:type="dxa"/>
            <w:tcBorders>
              <w:left w:val="single" w:color="auto" w:sz="4" w:space="0"/>
              <w:right w:val="single" w:color="auto" w:sz="4" w:space="0"/>
            </w:tcBorders>
            <w:noWrap w:val="0"/>
            <w:vAlign w:val="center"/>
          </w:tcPr>
          <w:p>
            <w:pPr>
              <w:widowControl/>
              <w:adjustRightInd w:val="0"/>
              <w:snapToGrid w:val="0"/>
              <w:spacing w:before="50"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采购项目预算（元人民币）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24" w:hRule="atLeast"/>
        </w:trPr>
        <w:tc>
          <w:tcPr>
            <w:tcW w:w="646" w:type="dxa"/>
            <w:tcBorders>
              <w:right w:val="single" w:color="auto" w:sz="4" w:space="0"/>
            </w:tcBorders>
            <w:noWrap w:val="0"/>
            <w:vAlign w:val="top"/>
          </w:tcPr>
          <w:p>
            <w:pPr>
              <w:pStyle w:val="16"/>
              <w:adjustRightInd w:val="0"/>
              <w:snapToGrid w:val="0"/>
              <w:spacing w:before="50" w:line="360" w:lineRule="auto"/>
              <w:jc w:val="center"/>
              <w:rPr>
                <w:rFonts w:hint="eastAsia" w:hAnsi="宋体" w:cs="宋体"/>
                <w:color w:val="auto"/>
                <w:kern w:val="0"/>
                <w:highlight w:val="none"/>
              </w:rPr>
            </w:pPr>
            <w:r>
              <w:rPr>
                <w:rFonts w:hint="eastAsia" w:hAnsi="宋体" w:cs="宋体"/>
                <w:color w:val="auto"/>
                <w:kern w:val="0"/>
                <w:highlight w:val="none"/>
              </w:rPr>
              <w:t>01</w:t>
            </w:r>
          </w:p>
        </w:tc>
        <w:tc>
          <w:tcPr>
            <w:tcW w:w="3639" w:type="dxa"/>
            <w:tcBorders>
              <w:left w:val="single" w:color="auto" w:sz="4" w:space="0"/>
            </w:tcBorders>
            <w:noWrap w:val="0"/>
            <w:vAlign w:val="top"/>
          </w:tcPr>
          <w:p>
            <w:pPr>
              <w:adjustRightInd w:val="0"/>
              <w:snapToGrid w:val="0"/>
              <w:spacing w:beforeLines="0" w:line="360" w:lineRule="auto"/>
              <w:ind w:firstLine="420" w:firstLineChars="200"/>
              <w:rPr>
                <w:rFonts w:hint="eastAsia" w:ascii="宋体" w:hAnsi="宋体" w:cs="宋体"/>
                <w:color w:val="auto"/>
                <w:kern w:val="0"/>
                <w:szCs w:val="21"/>
                <w:highlight w:val="none"/>
              </w:rPr>
            </w:pPr>
            <w:r>
              <w:rPr>
                <w:rFonts w:hint="eastAsia" w:ascii="宋体" w:hAnsi="宋体"/>
                <w:color w:val="auto"/>
                <w:highlight w:val="none"/>
                <w:u w:val="none"/>
                <w:lang w:eastAsia="zh-CN"/>
              </w:rPr>
              <w:t>湖南省涔天河水库扩建工程灌区左、右渠首电站及跌水电站2023年度财产保险采购项目</w:t>
            </w:r>
          </w:p>
        </w:tc>
        <w:tc>
          <w:tcPr>
            <w:tcW w:w="1385" w:type="dxa"/>
            <w:tcBorders>
              <w:right w:val="single" w:color="auto" w:sz="4" w:space="0"/>
            </w:tcBorders>
            <w:noWrap w:val="0"/>
            <w:vAlign w:val="top"/>
          </w:tcPr>
          <w:p>
            <w:pPr>
              <w:pStyle w:val="16"/>
              <w:adjustRightInd w:val="0"/>
              <w:snapToGrid w:val="0"/>
              <w:spacing w:before="50" w:line="360" w:lineRule="auto"/>
              <w:rPr>
                <w:rFonts w:hint="eastAsia" w:hAnsi="宋体" w:cs="宋体"/>
                <w:color w:val="auto"/>
                <w:kern w:val="0"/>
                <w:highlight w:val="none"/>
              </w:rPr>
            </w:pPr>
            <w:r>
              <w:rPr>
                <w:rFonts w:hint="eastAsia" w:ascii="宋体" w:hAnsi="宋体" w:eastAsia="宋体" w:cs="宋体"/>
                <w:color w:val="auto"/>
                <w:kern w:val="0"/>
                <w:sz w:val="21"/>
                <w:szCs w:val="21"/>
                <w:highlight w:val="none"/>
              </w:rPr>
              <w:t>详见采购需求</w:t>
            </w:r>
          </w:p>
        </w:tc>
        <w:tc>
          <w:tcPr>
            <w:tcW w:w="997" w:type="dxa"/>
            <w:tcBorders>
              <w:left w:val="single" w:color="auto" w:sz="4" w:space="0"/>
              <w:right w:val="single" w:color="auto" w:sz="4" w:space="0"/>
            </w:tcBorders>
            <w:noWrap w:val="0"/>
            <w:vAlign w:val="center"/>
          </w:tcPr>
          <w:p>
            <w:pPr>
              <w:ind w:firstLine="420" w:firstLineChars="200"/>
              <w:rPr>
                <w:rFonts w:hint="default"/>
                <w:color w:val="auto"/>
                <w:highlight w:val="none"/>
                <w:lang w:val="en-US"/>
              </w:rPr>
            </w:pPr>
            <w:r>
              <w:rPr>
                <w:rFonts w:hint="eastAsia"/>
                <w:color w:val="auto"/>
                <w:highlight w:val="none"/>
                <w:lang w:val="en-US" w:eastAsia="zh-CN"/>
              </w:rPr>
              <w:t xml:space="preserve">1  </w:t>
            </w:r>
          </w:p>
        </w:tc>
        <w:tc>
          <w:tcPr>
            <w:tcW w:w="1890" w:type="dxa"/>
            <w:tcBorders>
              <w:left w:val="single" w:color="auto" w:sz="4" w:space="0"/>
              <w:right w:val="single" w:color="auto" w:sz="4" w:space="0"/>
            </w:tcBorders>
            <w:noWrap w:val="0"/>
            <w:vAlign w:val="center"/>
          </w:tcPr>
          <w:p>
            <w:pPr>
              <w:pStyle w:val="16"/>
              <w:adjustRightInd w:val="0"/>
              <w:snapToGrid w:val="0"/>
              <w:spacing w:before="50" w:line="360" w:lineRule="auto"/>
              <w:jc w:val="center"/>
              <w:rPr>
                <w:rFonts w:hint="eastAsia" w:hAnsi="宋体" w:eastAsia="宋体" w:cs="宋体"/>
                <w:color w:val="auto"/>
                <w:kern w:val="0"/>
                <w:highlight w:val="none"/>
                <w:lang w:val="en-US" w:eastAsia="zh-CN"/>
              </w:rPr>
            </w:pPr>
            <w:r>
              <w:rPr>
                <w:rFonts w:hint="eastAsia" w:hAnsi="宋体" w:cs="宋体"/>
                <w:color w:val="auto"/>
                <w:kern w:val="0"/>
                <w:highlight w:val="none"/>
                <w:lang w:val="en-US" w:eastAsia="zh-CN"/>
              </w:rPr>
              <w:t>160000.00</w:t>
            </w:r>
          </w:p>
        </w:tc>
      </w:tr>
    </w:tbl>
    <w:p>
      <w:pPr>
        <w:keepNext w:val="0"/>
        <w:keepLines w:val="0"/>
        <w:pageBreakBefore w:val="0"/>
        <w:widowControl w:val="0"/>
        <w:kinsoku/>
        <w:wordWrap/>
        <w:overflowPunct/>
        <w:topLinePunct w:val="0"/>
        <w:autoSpaceDE/>
        <w:autoSpaceDN/>
        <w:bidi w:val="0"/>
        <w:adjustRightInd/>
        <w:snapToGrid/>
        <w:spacing w:beforeLines="0" w:line="240" w:lineRule="auto"/>
        <w:ind w:firstLine="420" w:firstLineChars="200"/>
        <w:textAlignment w:val="auto"/>
        <w:rPr>
          <w:b/>
          <w:bCs/>
          <w:color w:val="auto"/>
          <w:highlight w:val="none"/>
        </w:rPr>
      </w:pPr>
      <w:bookmarkStart w:id="4" w:name="_Toc34637754"/>
      <w:bookmarkStart w:id="5" w:name="_Toc22201057"/>
      <w:r>
        <w:rPr>
          <w:rFonts w:hint="eastAsia" w:ascii="黑体" w:hAnsi="黑体" w:eastAsia="黑体"/>
          <w:color w:val="auto"/>
          <w:highlight w:val="none"/>
        </w:rPr>
        <w:t>三、</w:t>
      </w:r>
      <w:r>
        <w:rPr>
          <w:rFonts w:hint="eastAsia"/>
          <w:b/>
          <w:bCs/>
          <w:color w:val="auto"/>
          <w:highlight w:val="none"/>
        </w:rPr>
        <w:t>供应商的资格要求</w:t>
      </w:r>
    </w:p>
    <w:bookmarkEnd w:id="4"/>
    <w:bookmarkEnd w:id="5"/>
    <w:p>
      <w:pPr>
        <w:adjustRightInd w:val="0"/>
        <w:snapToGrid w:val="0"/>
        <w:spacing w:before="156" w:beforeLines="50" w:line="440" w:lineRule="exact"/>
        <w:ind w:firstLine="420" w:firstLineChars="200"/>
        <w:rPr>
          <w:rFonts w:ascii="宋体" w:hAnsi="宋体" w:cs="宋体"/>
          <w:color w:val="auto"/>
          <w:szCs w:val="21"/>
          <w:highlight w:val="none"/>
        </w:rPr>
      </w:pPr>
      <w:bookmarkStart w:id="6" w:name="_Toc22201058"/>
      <w:bookmarkStart w:id="7" w:name="_Toc34637755"/>
      <w:r>
        <w:rPr>
          <w:rFonts w:hint="eastAsia" w:ascii="宋体" w:hAnsi="宋体" w:cs="宋体"/>
          <w:color w:val="auto"/>
          <w:szCs w:val="21"/>
          <w:highlight w:val="none"/>
        </w:rPr>
        <w:t>1、供应商的基本资格条件：供应商必须是在中华人民共和国境内注册登记的法人、其他组织或者自然人，且应当符合《政府采购法》第二十二条第一款的规定，即：</w:t>
      </w:r>
    </w:p>
    <w:p>
      <w:pPr>
        <w:adjustRightInd w:val="0"/>
        <w:snapToGrid w:val="0"/>
        <w:spacing w:before="156" w:beforeLines="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color w:val="auto"/>
          <w:highlight w:val="none"/>
          <w:lang w:val="en-US" w:eastAsia="zh-CN"/>
        </w:rPr>
        <w:t>具有独立承担民事责任的能力；</w:t>
      </w:r>
      <w:r>
        <w:rPr>
          <w:rFonts w:hint="eastAsia" w:ascii="宋体" w:hAnsi="宋体" w:cs="宋体"/>
          <w:color w:val="auto"/>
          <w:szCs w:val="21"/>
          <w:highlight w:val="none"/>
        </w:rPr>
        <w:t>要求直接参与投标活动的投标人提供有效的《营业执照》副本或《事业单位法人证书》副本或《执业许可证》副本或自然人身份证明；</w:t>
      </w:r>
    </w:p>
    <w:p>
      <w:pPr>
        <w:adjustRightInd w:val="0"/>
        <w:snapToGrid w:val="0"/>
        <w:spacing w:before="156" w:beforeLines="50" w:line="440" w:lineRule="exact"/>
        <w:ind w:firstLine="420" w:firstLineChars="200"/>
        <w:rPr>
          <w:rFonts w:hint="eastAsia" w:ascii="宋体" w:hAnsi="宋体" w:eastAsia="宋体" w:cs="宋体"/>
          <w:i w:val="0"/>
          <w:iCs w:val="0"/>
          <w:caps w:val="0"/>
          <w:color w:val="auto"/>
          <w:spacing w:val="0"/>
          <w:sz w:val="21"/>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具有良好的商业信誉和健全的财务会计制度；</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投标人提供</w:t>
      </w:r>
      <w:r>
        <w:rPr>
          <w:rFonts w:hint="eastAsia" w:ascii="宋体" w:hAnsi="宋体" w:cs="宋体"/>
          <w:color w:val="auto"/>
          <w:szCs w:val="21"/>
          <w:highlight w:val="none"/>
          <w:lang w:val="en-US" w:eastAsia="zh-CN"/>
        </w:rPr>
        <w:t>202</w:t>
      </w:r>
      <w:r>
        <w:rPr>
          <w:rFonts w:hint="default" w:ascii="宋体" w:hAnsi="宋体" w:cs="宋体"/>
          <w:color w:val="auto"/>
          <w:szCs w:val="21"/>
          <w:highlight w:val="none"/>
          <w:lang w:eastAsia="zh-CN"/>
        </w:rPr>
        <w:t>2</w:t>
      </w:r>
      <w:r>
        <w:rPr>
          <w:rFonts w:hint="eastAsia" w:ascii="宋体" w:hAnsi="宋体" w:cs="宋体"/>
          <w:color w:val="auto"/>
          <w:szCs w:val="21"/>
          <w:highlight w:val="none"/>
          <w:lang w:eastAsia="zh-CN"/>
        </w:rPr>
        <w:t>年度</w:t>
      </w:r>
      <w:r>
        <w:rPr>
          <w:rFonts w:hint="eastAsia" w:ascii="宋体" w:hAnsi="宋体" w:eastAsia="宋体" w:cs="宋体"/>
          <w:i w:val="0"/>
          <w:iCs w:val="0"/>
          <w:caps w:val="0"/>
          <w:color w:val="auto"/>
          <w:spacing w:val="0"/>
          <w:sz w:val="21"/>
          <w:szCs w:val="21"/>
          <w:highlight w:val="none"/>
        </w:rPr>
        <w:t>财务报表复印件（至少含资产负债表、利润表和现金流量表）</w:t>
      </w:r>
      <w:r>
        <w:rPr>
          <w:rFonts w:hint="eastAsia" w:ascii="宋体" w:hAnsi="宋体" w:eastAsia="宋体" w:cs="宋体"/>
          <w:i w:val="0"/>
          <w:iCs w:val="0"/>
          <w:caps w:val="0"/>
          <w:color w:val="auto"/>
          <w:spacing w:val="0"/>
          <w:sz w:val="21"/>
          <w:szCs w:val="21"/>
          <w:highlight w:val="none"/>
          <w:lang w:eastAsia="zh-CN"/>
        </w:rPr>
        <w:t>；</w:t>
      </w:r>
    </w:p>
    <w:p>
      <w:pPr>
        <w:adjustRightInd w:val="0"/>
        <w:snapToGrid w:val="0"/>
        <w:spacing w:before="156" w:beforeLines="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具有履行合同所必需的设备和专业技术能力；</w:t>
      </w:r>
      <w:r>
        <w:rPr>
          <w:rFonts w:hint="eastAsia" w:ascii="宋体" w:hAnsi="宋体" w:cs="宋体"/>
          <w:color w:val="auto"/>
          <w:szCs w:val="21"/>
          <w:highlight w:val="none"/>
        </w:rPr>
        <w:t>要求投标人提供履行合同所必需的设备和专业技术能力的</w:t>
      </w:r>
      <w:r>
        <w:rPr>
          <w:rFonts w:hint="eastAsia" w:ascii="宋体" w:hAnsi="宋体" w:cs="宋体"/>
          <w:color w:val="auto"/>
          <w:szCs w:val="21"/>
          <w:highlight w:val="none"/>
          <w:lang w:val="en-US" w:eastAsia="zh-CN"/>
        </w:rPr>
        <w:t>证明材料或承诺书原件</w:t>
      </w:r>
      <w:r>
        <w:rPr>
          <w:rFonts w:hint="eastAsia" w:ascii="宋体" w:hAnsi="宋体" w:cs="宋体"/>
          <w:color w:val="auto"/>
          <w:szCs w:val="21"/>
          <w:highlight w:val="none"/>
        </w:rPr>
        <w:t>；</w:t>
      </w:r>
    </w:p>
    <w:p>
      <w:pPr>
        <w:adjustRightInd w:val="0"/>
        <w:snapToGrid w:val="0"/>
        <w:spacing w:before="156" w:beforeLines="50"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有依法缴纳税收和社会保障资金的良好记录；</w:t>
      </w:r>
    </w:p>
    <w:p>
      <w:pPr>
        <w:adjustRightInd w:val="0"/>
        <w:snapToGrid w:val="0"/>
        <w:spacing w:before="156" w:beforeLines="50" w:line="440" w:lineRule="exact"/>
        <w:ind w:firstLine="420" w:firstLineChars="200"/>
        <w:rPr>
          <w:rFonts w:hint="eastAsia" w:ascii="宋体" w:hAnsi="宋体" w:cs="宋体"/>
          <w:color w:val="auto"/>
          <w:szCs w:val="21"/>
          <w:highlight w:val="none"/>
          <w:lang w:eastAsia="zh-CN"/>
        </w:rPr>
      </w:pPr>
      <w:r>
        <w:rPr>
          <w:rFonts w:hint="default" w:ascii="Calibri" w:hAnsi="Calibri" w:cs="Calibri"/>
          <w:color w:val="auto"/>
          <w:szCs w:val="21"/>
          <w:highlight w:val="none"/>
        </w:rPr>
        <w:t>①</w:t>
      </w:r>
      <w:r>
        <w:rPr>
          <w:rFonts w:hint="eastAsia" w:ascii="宋体" w:hAnsi="宋体" w:cs="宋体"/>
          <w:color w:val="auto"/>
          <w:szCs w:val="21"/>
          <w:highlight w:val="none"/>
        </w:rPr>
        <w:t>要求投标人提供</w:t>
      </w:r>
      <w:r>
        <w:rPr>
          <w:rFonts w:hint="eastAsia" w:ascii="宋体" w:hAnsi="宋体" w:eastAsia="宋体" w:cs="Times New Roman"/>
          <w:color w:val="auto"/>
          <w:kern w:val="2"/>
          <w:sz w:val="21"/>
          <w:szCs w:val="21"/>
          <w:highlight w:val="none"/>
          <w:lang w:val="en-US" w:eastAsia="zh-CN" w:bidi="ar"/>
        </w:rPr>
        <w:t>税务登记证或</w:t>
      </w:r>
      <w:r>
        <w:rPr>
          <w:rFonts w:hint="eastAsia" w:ascii="宋体" w:hAnsi="宋体" w:cs="宋体"/>
          <w:color w:val="auto"/>
          <w:szCs w:val="21"/>
          <w:highlight w:val="none"/>
        </w:rPr>
        <w:t>依法缴纳税收的证明材料或者法定征收机关出具的依法免缴税收的证明材料</w:t>
      </w:r>
      <w:r>
        <w:rPr>
          <w:rFonts w:hint="eastAsia" w:ascii="宋体" w:hAnsi="宋体" w:cs="宋体"/>
          <w:color w:val="auto"/>
          <w:szCs w:val="21"/>
          <w:highlight w:val="none"/>
          <w:lang w:eastAsia="zh-CN"/>
        </w:rPr>
        <w:t>，</w:t>
      </w:r>
    </w:p>
    <w:p>
      <w:pPr>
        <w:adjustRightInd w:val="0"/>
        <w:snapToGrid w:val="0"/>
        <w:spacing w:before="156" w:beforeLines="50" w:line="440" w:lineRule="exact"/>
        <w:ind w:firstLine="420" w:firstLineChars="200"/>
        <w:rPr>
          <w:rFonts w:ascii="宋体" w:hAnsi="宋体" w:cs="宋体"/>
          <w:color w:val="auto"/>
          <w:highlight w:val="none"/>
        </w:rPr>
      </w:pPr>
      <w:r>
        <w:rPr>
          <w:rFonts w:hint="default" w:ascii="Calibri" w:hAnsi="Calibri" w:cs="Calibri"/>
          <w:color w:val="auto"/>
          <w:szCs w:val="21"/>
          <w:highlight w:val="none"/>
          <w:lang w:eastAsia="zh-CN"/>
        </w:rPr>
        <w:t>②</w:t>
      </w:r>
      <w:r>
        <w:rPr>
          <w:rFonts w:hint="eastAsia" w:ascii="宋体" w:hAnsi="宋体" w:cs="宋体"/>
          <w:color w:val="auto"/>
          <w:szCs w:val="21"/>
          <w:highlight w:val="none"/>
        </w:rPr>
        <w:t>要求投标人提供</w:t>
      </w:r>
      <w:r>
        <w:rPr>
          <w:rFonts w:hint="eastAsia" w:ascii="宋体" w:hAnsi="宋体" w:eastAsia="宋体" w:cs="Times New Roman"/>
          <w:color w:val="auto"/>
          <w:kern w:val="2"/>
          <w:sz w:val="21"/>
          <w:szCs w:val="21"/>
          <w:highlight w:val="none"/>
          <w:lang w:val="en-US" w:eastAsia="zh-CN" w:bidi="ar"/>
        </w:rPr>
        <w:t>社会保险登记证或</w:t>
      </w:r>
      <w:r>
        <w:rPr>
          <w:rFonts w:hint="eastAsia" w:ascii="宋体" w:hAnsi="宋体" w:cs="宋体"/>
          <w:color w:val="auto"/>
          <w:szCs w:val="21"/>
          <w:highlight w:val="none"/>
        </w:rPr>
        <w:t>依法缴纳社</w:t>
      </w:r>
      <w:r>
        <w:rPr>
          <w:rFonts w:hint="eastAsia" w:ascii="宋体" w:hAnsi="宋体" w:cs="宋体"/>
          <w:color w:val="auto"/>
          <w:highlight w:val="none"/>
        </w:rPr>
        <w:t>会保障资金的证明材料；</w:t>
      </w:r>
    </w:p>
    <w:p>
      <w:pPr>
        <w:adjustRightInd w:val="0"/>
        <w:snapToGrid w:val="0"/>
        <w:spacing w:before="156" w:beforeLines="50" w:line="440" w:lineRule="exact"/>
        <w:ind w:firstLine="420" w:firstLineChars="200"/>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szCs w:val="21"/>
          <w:highlight w:val="none"/>
          <w:lang w:val="en-US" w:eastAsia="zh-CN"/>
        </w:rPr>
        <w:t>参加政府采购活动前三年内，在经营活动中没有重大违法记录</w:t>
      </w:r>
      <w:r>
        <w:rPr>
          <w:rFonts w:hint="eastAsia" w:ascii="宋体" w:hAnsi="宋体" w:eastAsia="宋体" w:cs="宋体"/>
          <w:color w:val="auto"/>
          <w:szCs w:val="21"/>
          <w:highlight w:val="none"/>
        </w:rPr>
        <w:t>（提供参加政府采购活动前三年内在经营活动中没有重大违法记录的书面承诺原件</w:t>
      </w:r>
      <w:r>
        <w:rPr>
          <w:rFonts w:hint="eastAsia" w:ascii="宋体" w:hAnsi="宋体" w:cs="宋体"/>
          <w:color w:val="auto"/>
          <w:szCs w:val="21"/>
          <w:highlight w:val="none"/>
          <w:lang w:eastAsia="zh-CN"/>
        </w:rPr>
        <w:t>）；</w:t>
      </w:r>
    </w:p>
    <w:p>
      <w:pPr>
        <w:adjustRightInd w:val="0"/>
        <w:snapToGrid w:val="0"/>
        <w:spacing w:before="156" w:beforeLines="50" w:line="44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eastAsia="zh-CN"/>
        </w:rPr>
        <w:t>若法定代表人（单位负责人）参与投标的，投标人提供法定代表人（单位负责人）身份证明原件；若非法定代表人（单位负责人）参与投标的，须提供法定代表人（单位负责人）授权委托书原件和法定代表人（单位</w:t>
      </w:r>
      <w:r>
        <w:rPr>
          <w:rFonts w:hint="eastAsia" w:ascii="宋体" w:hAnsi="宋体" w:eastAsia="宋体" w:cs="宋体"/>
          <w:color w:val="auto"/>
          <w:szCs w:val="21"/>
          <w:highlight w:val="none"/>
          <w:lang w:eastAsia="zh-CN"/>
        </w:rPr>
        <w:t>负责人）身份证明原件</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本项目接受分支机构参与投标。</w:t>
      </w:r>
    </w:p>
    <w:p>
      <w:pPr>
        <w:keepNext w:val="0"/>
        <w:keepLines w:val="0"/>
        <w:pageBreakBefore w:val="0"/>
        <w:widowControl w:val="0"/>
        <w:kinsoku/>
        <w:wordWrap/>
        <w:overflowPunct/>
        <w:topLinePunct w:val="0"/>
        <w:autoSpaceDE/>
        <w:autoSpaceDN/>
        <w:bidi w:val="0"/>
        <w:adjustRightInd w:val="0"/>
        <w:snapToGrid w:val="0"/>
        <w:spacing w:line="440" w:lineRule="exact"/>
        <w:ind w:firstLine="632" w:firstLineChars="300"/>
        <w:textAlignment w:val="auto"/>
        <w:rPr>
          <w:rFonts w:hint="eastAsia" w:ascii="微软雅黑" w:hAnsi="微软雅黑" w:eastAsia="微软雅黑" w:cs="微软雅黑"/>
          <w:i w:val="0"/>
          <w:caps w:val="0"/>
          <w:color w:val="auto"/>
          <w:spacing w:val="0"/>
          <w:sz w:val="19"/>
          <w:szCs w:val="19"/>
          <w:highlight w:val="none"/>
        </w:rPr>
      </w:pPr>
      <w:r>
        <w:rPr>
          <w:rFonts w:hint="eastAsia" w:ascii="宋体" w:hAnsi="宋体" w:eastAsia="宋体" w:cs="宋体"/>
          <w:b/>
          <w:i w:val="0"/>
          <w:caps w:val="0"/>
          <w:color w:val="auto"/>
          <w:spacing w:val="0"/>
          <w:kern w:val="0"/>
          <w:sz w:val="21"/>
          <w:szCs w:val="21"/>
          <w:highlight w:val="none"/>
          <w:lang w:val="en-US" w:eastAsia="zh-CN" w:bidi="ar"/>
        </w:rPr>
        <w:t>注：根据《中华人民共和国政府采购法实施条例》释义，银行、保险、石油石化、电力、通信等有关行业特殊情况的，取得营业执照的分支机构可以以分支机构名义参与投标，</w:t>
      </w:r>
      <w:r>
        <w:rPr>
          <w:rFonts w:hint="eastAsia" w:ascii="宋体" w:hAnsi="宋体" w:cs="宋体"/>
          <w:b/>
          <w:i w:val="0"/>
          <w:caps w:val="0"/>
          <w:color w:val="auto"/>
          <w:spacing w:val="0"/>
          <w:kern w:val="0"/>
          <w:sz w:val="21"/>
          <w:szCs w:val="21"/>
          <w:highlight w:val="none"/>
          <w:lang w:val="en-US" w:eastAsia="zh-CN" w:bidi="ar"/>
        </w:rPr>
        <w:t>询价</w:t>
      </w:r>
      <w:r>
        <w:rPr>
          <w:rFonts w:hint="eastAsia" w:ascii="宋体" w:hAnsi="宋体" w:eastAsia="宋体" w:cs="宋体"/>
          <w:b/>
          <w:i w:val="0"/>
          <w:caps w:val="0"/>
          <w:color w:val="auto"/>
          <w:spacing w:val="0"/>
          <w:kern w:val="0"/>
          <w:sz w:val="21"/>
          <w:szCs w:val="21"/>
          <w:highlight w:val="none"/>
          <w:lang w:val="en-US" w:eastAsia="zh-CN" w:bidi="ar"/>
        </w:rPr>
        <w:t>文件中涉及的“法定代表人（单位负责人）”在前述特殊行业中即对应为“分支机构负责人”；投标人可使用集团内相关资质参与投标。</w:t>
      </w:r>
    </w:p>
    <w:p>
      <w:pPr>
        <w:keepNext w:val="0"/>
        <w:keepLines w:val="0"/>
        <w:widowControl/>
        <w:suppressLineNumbers w:val="0"/>
        <w:adjustRightInd w:val="0"/>
        <w:snapToGrid w:val="0"/>
        <w:spacing w:before="156" w:beforeLines="50" w:beforeAutospacing="0" w:after="0" w:afterAutospacing="0" w:line="440" w:lineRule="exact"/>
        <w:ind w:left="0" w:right="0" w:firstLine="420" w:firstLineChars="200"/>
        <w:jc w:val="left"/>
        <w:rPr>
          <w:rFonts w:hint="eastAsia" w:ascii="宋体" w:hAnsi="宋体" w:cs="宋体"/>
          <w:b w:val="0"/>
          <w:bCs w:val="0"/>
          <w:color w:val="auto"/>
          <w:szCs w:val="21"/>
          <w:highlight w:val="none"/>
          <w:lang w:bidi="ar"/>
        </w:rPr>
      </w:pPr>
      <w:r>
        <w:rPr>
          <w:rFonts w:hint="eastAsia" w:ascii="宋体" w:hAnsi="宋体" w:eastAsia="宋体" w:cs="宋体"/>
          <w:color w:val="auto"/>
          <w:szCs w:val="21"/>
          <w:highlight w:val="none"/>
        </w:rPr>
        <w:t>2、采购项目的特定资格条件：</w:t>
      </w:r>
    </w:p>
    <w:p>
      <w:pPr>
        <w:keepNext w:val="0"/>
        <w:keepLines w:val="0"/>
        <w:widowControl/>
        <w:suppressLineNumbers w:val="0"/>
        <w:adjustRightInd w:val="0"/>
        <w:snapToGrid w:val="0"/>
        <w:spacing w:before="156" w:beforeLines="50" w:beforeAutospacing="0" w:after="0" w:afterAutospacing="0" w:line="440" w:lineRule="exact"/>
        <w:ind w:left="0" w:right="0" w:firstLine="420" w:firstLineChars="20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2"/>
          <w:sz w:val="21"/>
          <w:szCs w:val="21"/>
          <w:highlight w:val="none"/>
          <w:lang w:val="en-US" w:eastAsia="zh-CN" w:bidi="ar"/>
        </w:rPr>
        <w:t>（1）投标人</w:t>
      </w:r>
      <w:r>
        <w:rPr>
          <w:rFonts w:hint="eastAsia" w:ascii="宋体" w:hAnsi="宋体"/>
          <w:color w:val="auto"/>
          <w:szCs w:val="21"/>
          <w:highlight w:val="none"/>
        </w:rPr>
        <w:t>具有中国保险监督管理委员颁发的《经营保险业务许可证》（财产保险）且具有中国保监会报备的财产综合保险和机器损坏保险条款的保险公司；</w:t>
      </w:r>
    </w:p>
    <w:p>
      <w:pPr>
        <w:adjustRightInd w:val="0"/>
        <w:snapToGrid w:val="0"/>
        <w:spacing w:before="156" w:beforeLines="50" w:line="44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i w:val="0"/>
          <w:iCs w:val="0"/>
          <w:caps w:val="0"/>
          <w:color w:val="auto"/>
          <w:spacing w:val="0"/>
          <w:kern w:val="2"/>
          <w:sz w:val="21"/>
          <w:szCs w:val="21"/>
          <w:highlight w:val="none"/>
          <w:lang w:val="en-US" w:eastAsia="zh-CN" w:bidi="ar"/>
        </w:rPr>
        <w:t>（2）本项目允许法人的分支机构参加投标，参与本项目投标的分支机构仅限于市级及以上分支机构，同属一个保险集团的，只能由一个分支机构参与本项目投标。</w:t>
      </w:r>
    </w:p>
    <w:p>
      <w:pPr>
        <w:adjustRightInd w:val="0"/>
        <w:snapToGrid w:val="0"/>
        <w:spacing w:before="156" w:beforeLines="50"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3、单位负责人为同一人或者存在直接控股、管理关系的不同投标人，不得参加同一合同项下的采购活动。</w:t>
      </w:r>
    </w:p>
    <w:p>
      <w:pPr>
        <w:adjustRightInd w:val="0"/>
        <w:snapToGrid w:val="0"/>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4、为本采购项目提供整体设</w:t>
      </w:r>
      <w:r>
        <w:rPr>
          <w:rFonts w:hint="eastAsia" w:ascii="宋体" w:hAnsi="宋体" w:cs="宋体"/>
          <w:color w:val="auto"/>
          <w:szCs w:val="21"/>
          <w:highlight w:val="none"/>
          <w:lang w:eastAsia="zh-CN"/>
        </w:rPr>
        <w:t>计、规范编制或者项目管理、监理、检测等服务的，不得再参加此项目的其他招标采购活动。</w:t>
      </w:r>
    </w:p>
    <w:p>
      <w:pPr>
        <w:adjustRightInd w:val="0"/>
        <w:snapToGrid w:val="0"/>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5、列入失信被执行人、重大税收违法案件当事人名单，列入政府采购严重违法失信行为记录名单的，拒绝其参与采购活动。[通过“信用中国”网站（www.creditchina.gov.cn）失信被执行人、重大税收违法案件当事人名单、政府采购严重违法失信名单和中国政府采购网站（www.ccgp.gov.cn）政府采购严重违法失信行为，</w:t>
      </w:r>
      <w:r>
        <w:rPr>
          <w:rFonts w:hint="eastAsia" w:ascii="宋体" w:hAnsi="宋体" w:cs="宋体"/>
          <w:color w:val="auto"/>
          <w:szCs w:val="21"/>
          <w:highlight w:val="none"/>
          <w:lang w:val="en-US" w:eastAsia="zh-CN"/>
        </w:rPr>
        <w:t>对投标人的信用记录进行</w:t>
      </w:r>
      <w:r>
        <w:rPr>
          <w:rFonts w:hint="eastAsia" w:ascii="宋体" w:hAnsi="宋体" w:cs="宋体"/>
          <w:color w:val="auto"/>
          <w:szCs w:val="21"/>
          <w:highlight w:val="none"/>
          <w:lang w:eastAsia="zh-CN"/>
        </w:rPr>
        <w:t>查询、</w:t>
      </w:r>
      <w:r>
        <w:rPr>
          <w:rFonts w:hint="eastAsia" w:ascii="宋体" w:hAnsi="宋体" w:cs="宋体"/>
          <w:color w:val="auto"/>
          <w:szCs w:val="21"/>
          <w:highlight w:val="none"/>
          <w:lang w:val="en-US" w:eastAsia="zh-CN"/>
        </w:rPr>
        <w:t>甄别</w:t>
      </w:r>
      <w:r>
        <w:rPr>
          <w:rFonts w:hint="eastAsia" w:ascii="宋体" w:hAnsi="宋体" w:cs="宋体"/>
          <w:color w:val="auto"/>
          <w:szCs w:val="21"/>
          <w:highlight w:val="none"/>
          <w:lang w:eastAsia="zh-CN"/>
        </w:rPr>
        <w:t>]。</w:t>
      </w:r>
    </w:p>
    <w:p>
      <w:pPr>
        <w:adjustRightInd w:val="0"/>
        <w:snapToGrid w:val="0"/>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、本次招标不接受联合体投标。</w:t>
      </w:r>
    </w:p>
    <w:p>
      <w:pPr>
        <w:keepNext w:val="0"/>
        <w:keepLines w:val="0"/>
        <w:pageBreakBefore w:val="0"/>
        <w:widowControl/>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b w:val="0"/>
          <w:bCs w:val="0"/>
          <w:color w:val="auto"/>
          <w:szCs w:val="21"/>
          <w:highlight w:val="none"/>
          <w:lang w:eastAsia="zh-CN"/>
        </w:rPr>
        <w:t>注：</w:t>
      </w:r>
      <w:r>
        <w:rPr>
          <w:rFonts w:hint="eastAsia" w:ascii="宋体" w:hAnsi="宋体" w:eastAsia="宋体" w:cs="Times New Roman"/>
          <w:color w:val="auto"/>
          <w:kern w:val="2"/>
          <w:sz w:val="21"/>
          <w:szCs w:val="21"/>
          <w:highlight w:val="none"/>
          <w:lang w:val="en-US" w:eastAsia="zh-CN" w:bidi="ar"/>
        </w:rPr>
        <w:t>投标人具有实行了“三证合一”登记制度改革的新证，视同为持有工商营业执照、组织机构代码证和税务登记证，符合基本资格条件的相关条款；投标人具有实行了“五证合一”等级制度改革的新证，视同持有工商营业执照、组织机构代码证、税务登记证、社会保险登记证和统计登记证，符合基本资格条件的相关条款，投标人须注明“三证合一”或“五证合一”。</w:t>
      </w:r>
    </w:p>
    <w:bookmarkEnd w:id="6"/>
    <w:bookmarkEnd w:id="7"/>
    <w:p>
      <w:pPr>
        <w:pStyle w:val="6"/>
        <w:adjustRightInd w:val="0"/>
        <w:snapToGrid w:val="0"/>
        <w:spacing w:before="0" w:beforeLines="0" w:after="0" w:line="360" w:lineRule="auto"/>
        <w:jc w:val="left"/>
        <w:rPr>
          <w:rFonts w:hint="eastAsia" w:ascii="黑体" w:hAnsi="黑体" w:eastAsia="黑体"/>
          <w:b/>
          <w:bCs/>
          <w:color w:val="auto"/>
          <w:highlight w:val="none"/>
        </w:rPr>
      </w:pPr>
      <w:bookmarkStart w:id="8" w:name="_Toc34637756"/>
      <w:bookmarkStart w:id="9" w:name="_Toc22201059"/>
      <w:r>
        <w:rPr>
          <w:rFonts w:hint="default" w:ascii="黑体" w:hAnsi="黑体" w:eastAsia="黑体"/>
          <w:b/>
          <w:bCs/>
          <w:color w:val="auto"/>
          <w:highlight w:val="none"/>
        </w:rPr>
        <w:t>四</w:t>
      </w:r>
      <w:r>
        <w:rPr>
          <w:rFonts w:hint="eastAsia" w:ascii="黑体" w:hAnsi="黑体" w:eastAsia="黑体"/>
          <w:b/>
          <w:bCs/>
          <w:color w:val="auto"/>
          <w:highlight w:val="none"/>
        </w:rPr>
        <w:t>、提交首次响应文件的截止时间、</w:t>
      </w:r>
      <w:r>
        <w:rPr>
          <w:rFonts w:hint="eastAsia" w:ascii="黑体" w:hAnsi="黑体" w:eastAsia="黑体"/>
          <w:b/>
          <w:bCs/>
          <w:color w:val="auto"/>
          <w:highlight w:val="none"/>
          <w:lang w:eastAsia="zh-CN"/>
        </w:rPr>
        <w:t>询价</w:t>
      </w:r>
      <w:r>
        <w:rPr>
          <w:rFonts w:hint="eastAsia" w:ascii="黑体" w:hAnsi="黑体" w:eastAsia="黑体"/>
          <w:b/>
          <w:bCs/>
          <w:color w:val="auto"/>
          <w:highlight w:val="none"/>
        </w:rPr>
        <w:t>时间及地点</w:t>
      </w:r>
      <w:bookmarkEnd w:id="8"/>
      <w:bookmarkEnd w:id="9"/>
    </w:p>
    <w:p/>
    <w:p>
      <w:pPr>
        <w:adjustRightInd w:val="0"/>
        <w:snapToGrid w:val="0"/>
        <w:spacing w:beforeLines="0" w:line="360" w:lineRule="auto"/>
        <w:ind w:firstLine="420" w:firstLineChars="200"/>
        <w:rPr>
          <w:rFonts w:hint="eastAsia" w:ascii="宋体" w:hAnsi="宋体" w:eastAsia="宋体" w:cs="Times New Roman"/>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eastAsia="宋体" w:cs="Times New Roman"/>
          <w:i w:val="0"/>
          <w:iCs w:val="0"/>
          <w:caps w:val="0"/>
          <w:color w:val="auto"/>
          <w:spacing w:val="0"/>
          <w:sz w:val="21"/>
          <w:szCs w:val="21"/>
          <w:highlight w:val="none"/>
          <w:shd w:val="clear"/>
        </w:rPr>
        <w:t>递交</w:t>
      </w:r>
      <w:r>
        <w:rPr>
          <w:rFonts w:hint="eastAsia" w:ascii="宋体" w:hAnsi="宋体" w:eastAsia="宋体" w:cs="Times New Roman"/>
          <w:color w:val="auto"/>
          <w:szCs w:val="21"/>
          <w:highlight w:val="none"/>
        </w:rPr>
        <w:t>时间：</w:t>
      </w:r>
      <w:r>
        <w:rPr>
          <w:rFonts w:hint="eastAsia" w:ascii="宋体" w:hAnsi="宋体"/>
          <w:color w:val="auto"/>
          <w:szCs w:val="21"/>
          <w:highlight w:val="none"/>
        </w:rPr>
        <w:t xml:space="preserve"> </w:t>
      </w:r>
      <w:r>
        <w:rPr>
          <w:rFonts w:hint="eastAsia" w:ascii="宋体" w:hAnsi="宋体" w:cs="微软雅黑"/>
          <w:color w:val="auto"/>
          <w:kern w:val="0"/>
          <w:szCs w:val="21"/>
          <w:highlight w:val="none"/>
          <w:u w:val="single"/>
        </w:rPr>
        <w:t xml:space="preserve"> 202</w:t>
      </w:r>
      <w:r>
        <w:rPr>
          <w:rFonts w:hint="default" w:ascii="宋体" w:hAnsi="宋体" w:cs="微软雅黑"/>
          <w:color w:val="auto"/>
          <w:kern w:val="0"/>
          <w:szCs w:val="21"/>
          <w:highlight w:val="none"/>
          <w:u w:val="single"/>
          <w:lang w:eastAsia="zh-CN"/>
        </w:rPr>
        <w:t>3</w:t>
      </w:r>
      <w:r>
        <w:rPr>
          <w:rFonts w:hint="eastAsia" w:ascii="宋体" w:hAnsi="宋体" w:cs="微软雅黑"/>
          <w:color w:val="auto"/>
          <w:kern w:val="0"/>
          <w:szCs w:val="21"/>
          <w:highlight w:val="none"/>
          <w:u w:val="single"/>
          <w:lang w:val="en-US" w:eastAsia="zh-CN"/>
        </w:rPr>
        <w:t xml:space="preserve"> </w:t>
      </w:r>
      <w:r>
        <w:rPr>
          <w:rFonts w:hint="eastAsia" w:ascii="宋体" w:hAnsi="宋体" w:cs="微软雅黑"/>
          <w:color w:val="auto"/>
          <w:kern w:val="0"/>
          <w:szCs w:val="21"/>
          <w:highlight w:val="none"/>
        </w:rPr>
        <w:t>年</w:t>
      </w:r>
      <w:r>
        <w:rPr>
          <w:rFonts w:hint="eastAsia" w:ascii="宋体" w:hAnsi="宋体" w:cs="微软雅黑"/>
          <w:color w:val="auto"/>
          <w:kern w:val="0"/>
          <w:szCs w:val="21"/>
          <w:highlight w:val="none"/>
          <w:u w:val="single"/>
          <w:lang w:val="en-US" w:eastAsia="zh-CN"/>
        </w:rPr>
        <w:t xml:space="preserve"> 11 </w:t>
      </w:r>
      <w:r>
        <w:rPr>
          <w:rFonts w:hint="eastAsia" w:ascii="宋体" w:hAnsi="宋体" w:cs="微软雅黑"/>
          <w:color w:val="auto"/>
          <w:spacing w:val="-2"/>
          <w:kern w:val="0"/>
          <w:szCs w:val="21"/>
          <w:highlight w:val="none"/>
        </w:rPr>
        <w:t>月</w:t>
      </w:r>
      <w:r>
        <w:rPr>
          <w:rFonts w:hint="eastAsia" w:ascii="宋体" w:hAnsi="宋体" w:cs="微软雅黑"/>
          <w:color w:val="auto"/>
          <w:spacing w:val="-2"/>
          <w:kern w:val="0"/>
          <w:szCs w:val="21"/>
          <w:highlight w:val="none"/>
          <w:lang w:val="en-US" w:eastAsia="zh-CN"/>
        </w:rPr>
        <w:t xml:space="preserve"> </w:t>
      </w:r>
      <w:r>
        <w:rPr>
          <w:rFonts w:hint="eastAsia" w:ascii="宋体" w:hAnsi="宋体" w:cs="微软雅黑"/>
          <w:color w:val="auto"/>
          <w:spacing w:val="43"/>
          <w:kern w:val="0"/>
          <w:szCs w:val="21"/>
          <w:highlight w:val="none"/>
          <w:u w:val="single"/>
          <w:lang w:val="en-US" w:eastAsia="zh-CN"/>
        </w:rPr>
        <w:t xml:space="preserve"> 2 </w:t>
      </w:r>
      <w:r>
        <w:rPr>
          <w:rFonts w:hint="eastAsia" w:ascii="宋体" w:hAnsi="宋体" w:cs="微软雅黑"/>
          <w:color w:val="auto"/>
          <w:spacing w:val="-2"/>
          <w:kern w:val="0"/>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00  </w:t>
      </w:r>
      <w:r>
        <w:rPr>
          <w:rFonts w:hint="eastAsia" w:ascii="宋体" w:hAnsi="宋体"/>
          <w:color w:val="auto"/>
          <w:szCs w:val="21"/>
          <w:highlight w:val="none"/>
        </w:rPr>
        <w:t>分</w:t>
      </w:r>
      <w:r>
        <w:rPr>
          <w:rFonts w:hint="eastAsia" w:ascii="宋体" w:hAnsi="宋体" w:eastAsia="宋体" w:cs="Times New Roman"/>
          <w:color w:val="auto"/>
          <w:szCs w:val="21"/>
          <w:highlight w:val="none"/>
        </w:rPr>
        <w:t>（北京时间）。</w:t>
      </w:r>
    </w:p>
    <w:p>
      <w:pPr>
        <w:adjustRightInd w:val="0"/>
        <w:snapToGrid w:val="0"/>
        <w:spacing w:beforeLines="0" w:line="360" w:lineRule="auto"/>
        <w:ind w:firstLine="420" w:firstLineChars="200"/>
        <w:rPr>
          <w:rFonts w:hint="default" w:ascii="宋体" w:hAnsi="宋体"/>
          <w:color w:val="auto"/>
          <w:szCs w:val="21"/>
          <w:highlight w:val="none"/>
          <w:u w:val="single"/>
          <w:lang w:val="en-US"/>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i w:val="0"/>
          <w:iCs w:val="0"/>
          <w:caps w:val="0"/>
          <w:color w:val="auto"/>
          <w:spacing w:val="0"/>
          <w:sz w:val="21"/>
          <w:szCs w:val="21"/>
          <w:highlight w:val="none"/>
          <w:shd w:val="clear"/>
        </w:rPr>
        <w:t>递交地点：</w:t>
      </w:r>
      <w:r>
        <w:rPr>
          <w:rFonts w:hint="eastAsia" w:ascii="宋体" w:hAnsi="宋体" w:eastAsia="宋体" w:cs="宋体"/>
          <w:kern w:val="0"/>
          <w:szCs w:val="21"/>
        </w:rPr>
        <w:t>永州市江华瑶族自治县沱江镇瑶都大道</w:t>
      </w:r>
    </w:p>
    <w:p>
      <w:pPr>
        <w:pStyle w:val="6"/>
        <w:adjustRightInd w:val="0"/>
        <w:snapToGrid w:val="0"/>
        <w:spacing w:before="0" w:beforeLines="0" w:after="0" w:line="360" w:lineRule="auto"/>
        <w:jc w:val="left"/>
        <w:rPr>
          <w:rFonts w:hint="eastAsia" w:ascii="黑体" w:hAnsi="黑体" w:eastAsia="黑体" w:cs="Times New Roman"/>
          <w:b/>
          <w:bCs/>
          <w:color w:val="auto"/>
          <w:highlight w:val="none"/>
        </w:rPr>
      </w:pPr>
      <w:bookmarkStart w:id="10" w:name="_Toc34637758"/>
      <w:bookmarkStart w:id="11" w:name="_Toc22201061"/>
      <w:r>
        <w:rPr>
          <w:rFonts w:hint="eastAsia" w:ascii="黑体" w:hAnsi="黑体" w:eastAsia="黑体" w:cs="Times New Roman"/>
          <w:b/>
          <w:bCs/>
          <w:color w:val="auto"/>
          <w:highlight w:val="none"/>
          <w:lang w:eastAsia="zh-CN"/>
        </w:rPr>
        <w:t>五</w:t>
      </w:r>
      <w:r>
        <w:rPr>
          <w:rFonts w:hint="eastAsia" w:ascii="黑体" w:hAnsi="黑体" w:eastAsia="黑体" w:cs="Times New Roman"/>
          <w:b/>
          <w:bCs/>
          <w:color w:val="auto"/>
          <w:highlight w:val="none"/>
        </w:rPr>
        <w:t>、评标方法</w:t>
      </w:r>
    </w:p>
    <w:p>
      <w:pPr>
        <w:adjustRightInd w:val="0"/>
        <w:snapToGrid w:val="0"/>
        <w:spacing w:beforeLines="0"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1.最高投标限价：人民币陆拾万元（￥</w:t>
      </w:r>
      <w:r>
        <w:rPr>
          <w:rFonts w:hint="eastAsia" w:ascii="宋体" w:hAnsi="宋体" w:eastAsia="宋体" w:cs="宋体"/>
          <w:kern w:val="0"/>
          <w:szCs w:val="21"/>
          <w:lang w:val="en-US" w:eastAsia="zh-CN"/>
        </w:rPr>
        <w:t>16</w:t>
      </w:r>
      <w:r>
        <w:rPr>
          <w:rFonts w:hint="eastAsia" w:ascii="宋体" w:hAnsi="宋体" w:eastAsia="宋体" w:cs="宋体"/>
          <w:kern w:val="0"/>
          <w:szCs w:val="21"/>
        </w:rPr>
        <w:t>0,000.00）。</w:t>
      </w:r>
    </w:p>
    <w:p>
      <w:pPr>
        <w:adjustRightInd w:val="0"/>
        <w:snapToGrid w:val="0"/>
        <w:spacing w:beforeLines="0" w:line="360" w:lineRule="auto"/>
        <w:ind w:firstLine="420" w:firstLineChars="200"/>
        <w:rPr>
          <w:rFonts w:hint="default" w:ascii="黑体" w:hAnsi="黑体" w:eastAsia="黑体"/>
          <w:b/>
          <w:bCs/>
          <w:color w:val="auto"/>
          <w:highlight w:val="none"/>
        </w:rPr>
      </w:pPr>
      <w:r>
        <w:rPr>
          <w:rFonts w:hint="eastAsia" w:ascii="宋体" w:hAnsi="宋体" w:eastAsia="宋体" w:cs="宋体"/>
          <w:kern w:val="0"/>
          <w:szCs w:val="21"/>
        </w:rPr>
        <w:t>2.采用</w:t>
      </w:r>
      <w:r>
        <w:rPr>
          <w:rFonts w:hint="eastAsia" w:ascii="宋体" w:hAnsi="宋体" w:eastAsia="宋体" w:cs="宋体"/>
          <w:b/>
          <w:bCs/>
          <w:kern w:val="0"/>
          <w:szCs w:val="21"/>
        </w:rPr>
        <w:t>综合评分法</w:t>
      </w:r>
      <w:r>
        <w:rPr>
          <w:rFonts w:hint="eastAsia" w:ascii="宋体" w:hAnsi="宋体" w:eastAsia="宋体" w:cs="宋体"/>
          <w:kern w:val="0"/>
          <w:szCs w:val="21"/>
        </w:rPr>
        <w:t>。评审委员会推荐排名前1-3名的投标人为中标候选人。</w:t>
      </w:r>
    </w:p>
    <w:p>
      <w:pPr>
        <w:pStyle w:val="6"/>
        <w:adjustRightInd w:val="0"/>
        <w:snapToGrid w:val="0"/>
        <w:spacing w:before="0" w:beforeLines="0" w:after="0" w:line="360" w:lineRule="auto"/>
        <w:jc w:val="left"/>
        <w:rPr>
          <w:rFonts w:ascii="黑体" w:hAnsi="黑体" w:eastAsia="黑体"/>
          <w:b/>
          <w:bCs/>
          <w:color w:val="auto"/>
          <w:highlight w:val="none"/>
        </w:rPr>
      </w:pPr>
      <w:r>
        <w:rPr>
          <w:rFonts w:hint="eastAsia" w:ascii="黑体" w:hAnsi="黑体" w:eastAsia="黑体"/>
          <w:b/>
          <w:bCs/>
          <w:color w:val="auto"/>
          <w:highlight w:val="none"/>
          <w:lang w:eastAsia="zh-CN"/>
        </w:rPr>
        <w:t>六</w:t>
      </w:r>
      <w:r>
        <w:rPr>
          <w:rFonts w:hint="eastAsia" w:ascii="黑体" w:hAnsi="黑体" w:eastAsia="黑体"/>
          <w:b/>
          <w:bCs/>
          <w:color w:val="auto"/>
          <w:highlight w:val="none"/>
        </w:rPr>
        <w:t>、询问及质疑</w:t>
      </w:r>
      <w:bookmarkEnd w:id="10"/>
      <w:bookmarkEnd w:id="11"/>
    </w:p>
    <w:p>
      <w:pPr>
        <w:adjustRightInd w:val="0"/>
        <w:snapToGrid w:val="0"/>
        <w:spacing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1、供应商对采购活动事项如有疑问的，可以向采购人提出询问。采购人将在3个工作日内作出答复。</w:t>
      </w:r>
    </w:p>
    <w:p>
      <w:pPr>
        <w:adjustRightInd w:val="0"/>
        <w:snapToGrid w:val="0"/>
        <w:spacing w:beforeLines="0" w:line="360" w:lineRule="auto"/>
        <w:ind w:firstLine="420" w:firstLineChars="200"/>
        <w:rPr>
          <w:rFonts w:ascii="宋体" w:hAnsi="宋体"/>
          <w:color w:val="auto"/>
          <w:szCs w:val="21"/>
          <w:highlight w:val="none"/>
        </w:rPr>
      </w:pPr>
      <w:r>
        <w:rPr>
          <w:rFonts w:hint="eastAsia" w:ascii="宋体" w:hAnsi="宋体"/>
          <w:color w:val="auto"/>
          <w:szCs w:val="21"/>
          <w:highlight w:val="none"/>
        </w:rPr>
        <w:t>2、供应商认为</w:t>
      </w:r>
      <w:r>
        <w:rPr>
          <w:rFonts w:hint="eastAsia" w:ascii="宋体" w:hAnsi="宋体"/>
          <w:color w:val="auto"/>
          <w:szCs w:val="21"/>
          <w:highlight w:val="none"/>
          <w:lang w:eastAsia="zh-CN"/>
        </w:rPr>
        <w:t>询价</w:t>
      </w:r>
      <w:r>
        <w:rPr>
          <w:rFonts w:hint="eastAsia" w:ascii="宋体" w:hAnsi="宋体"/>
          <w:color w:val="auto"/>
          <w:szCs w:val="21"/>
          <w:highlight w:val="none"/>
        </w:rPr>
        <w:t>文件使自己的合法权益受到损害的，可以在收到</w:t>
      </w:r>
      <w:r>
        <w:rPr>
          <w:rFonts w:hint="eastAsia" w:ascii="宋体" w:hAnsi="宋体"/>
          <w:color w:val="auto"/>
          <w:szCs w:val="21"/>
          <w:highlight w:val="none"/>
          <w:lang w:eastAsia="zh-CN"/>
        </w:rPr>
        <w:t>询价</w:t>
      </w:r>
      <w:r>
        <w:rPr>
          <w:rFonts w:hint="eastAsia" w:ascii="宋体" w:hAnsi="宋体"/>
          <w:color w:val="auto"/>
          <w:szCs w:val="21"/>
          <w:highlight w:val="none"/>
        </w:rPr>
        <w:t>文件之日起7个工作日内，按《湖南省财政厅关于印发＜政府采购质疑答复和投诉处理操作规程＞的通知》(湘财购〔2019〕20号)规定，以书面形式向采购人提出质疑。</w:t>
      </w:r>
    </w:p>
    <w:p>
      <w:pPr>
        <w:pStyle w:val="6"/>
        <w:adjustRightInd w:val="0"/>
        <w:snapToGrid w:val="0"/>
        <w:spacing w:before="0" w:beforeLines="0" w:after="0" w:line="360" w:lineRule="auto"/>
        <w:jc w:val="left"/>
        <w:rPr>
          <w:rFonts w:ascii="黑体" w:hAnsi="黑体" w:eastAsia="黑体"/>
          <w:b/>
          <w:bCs/>
          <w:color w:val="auto"/>
          <w:highlight w:val="none"/>
        </w:rPr>
      </w:pPr>
      <w:bookmarkStart w:id="12" w:name="_Toc22201062"/>
      <w:bookmarkStart w:id="13" w:name="_Toc34637759"/>
      <w:r>
        <w:rPr>
          <w:rFonts w:hint="eastAsia" w:ascii="黑体" w:hAnsi="黑体" w:eastAsia="黑体"/>
          <w:b/>
          <w:bCs/>
          <w:color w:val="auto"/>
          <w:highlight w:val="none"/>
          <w:lang w:eastAsia="zh-CN"/>
        </w:rPr>
        <w:t>七</w:t>
      </w:r>
      <w:r>
        <w:rPr>
          <w:rFonts w:hint="eastAsia" w:ascii="黑体" w:hAnsi="黑体" w:eastAsia="黑体"/>
          <w:b/>
          <w:bCs/>
          <w:color w:val="auto"/>
          <w:highlight w:val="none"/>
        </w:rPr>
        <w:t>、</w:t>
      </w:r>
      <w:bookmarkEnd w:id="12"/>
      <w:bookmarkStart w:id="14" w:name="_Toc22201063"/>
      <w:r>
        <w:rPr>
          <w:rFonts w:hint="eastAsia" w:ascii="黑体" w:hAnsi="黑体" w:eastAsia="黑体"/>
          <w:b/>
          <w:bCs/>
          <w:color w:val="auto"/>
          <w:highlight w:val="none"/>
        </w:rPr>
        <w:t>采购人的名称、地址和联系方法</w:t>
      </w:r>
      <w:bookmarkEnd w:id="13"/>
      <w:bookmarkEnd w:id="14"/>
    </w:p>
    <w:p>
      <w:pPr>
        <w:adjustRightInd w:val="0"/>
        <w:snapToGrid w:val="0"/>
        <w:spacing w:beforeLines="0"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采购人信息</w:t>
      </w:r>
    </w:p>
    <w:p>
      <w:pPr>
        <w:adjustRightInd w:val="0"/>
        <w:snapToGrid w:val="0"/>
        <w:spacing w:beforeLines="0" w:line="360" w:lineRule="auto"/>
        <w:ind w:firstLine="411" w:firstLineChars="196"/>
        <w:rPr>
          <w:rFonts w:ascii="宋体" w:hAnsi="宋体"/>
          <w:color w:val="auto"/>
          <w:szCs w:val="21"/>
          <w:highlight w:val="none"/>
          <w:u w:val="none"/>
        </w:rPr>
      </w:pPr>
      <w:r>
        <w:rPr>
          <w:rFonts w:hint="eastAsia" w:ascii="宋体" w:hAnsi="宋体"/>
          <w:color w:val="auto"/>
          <w:szCs w:val="21"/>
          <w:highlight w:val="none"/>
        </w:rPr>
        <w:t>（1）</w:t>
      </w:r>
      <w:r>
        <w:rPr>
          <w:rFonts w:hint="eastAsia" w:ascii="宋体" w:hAnsi="宋体"/>
          <w:b/>
          <w:bCs/>
          <w:color w:val="auto"/>
          <w:szCs w:val="21"/>
          <w:highlight w:val="none"/>
        </w:rPr>
        <w:t>名 称：</w:t>
      </w:r>
      <w:r>
        <w:rPr>
          <w:rFonts w:hint="eastAsia" w:ascii="宋体" w:hAnsi="宋体"/>
          <w:color w:val="auto"/>
          <w:szCs w:val="21"/>
          <w:highlight w:val="none"/>
          <w:u w:val="none"/>
        </w:rPr>
        <w:t xml:space="preserve"> </w:t>
      </w:r>
      <w:r>
        <w:rPr>
          <w:rFonts w:hint="eastAsia" w:ascii="宋体" w:hAnsi="宋体"/>
          <w:color w:val="auto"/>
          <w:highlight w:val="none"/>
          <w:lang w:eastAsia="zh-CN"/>
        </w:rPr>
        <w:t>永州涔天河灌区工程建设有限责任公司</w:t>
      </w:r>
      <w:r>
        <w:rPr>
          <w:rFonts w:hint="eastAsia" w:ascii="宋体" w:hAnsi="宋体"/>
          <w:color w:val="auto"/>
          <w:szCs w:val="21"/>
          <w:highlight w:val="none"/>
          <w:u w:val="none"/>
        </w:rPr>
        <w:t xml:space="preserve">                            </w:t>
      </w:r>
    </w:p>
    <w:p>
      <w:pPr>
        <w:adjustRightInd w:val="0"/>
        <w:snapToGrid w:val="0"/>
        <w:spacing w:beforeLines="0" w:line="360" w:lineRule="auto"/>
        <w:ind w:firstLine="411" w:firstLineChars="196"/>
        <w:rPr>
          <w:rFonts w:hint="eastAsia" w:ascii="宋体" w:hAnsi="宋体" w:eastAsia="宋体" w:cs="Times New Roman"/>
          <w:color w:val="auto"/>
          <w:szCs w:val="24"/>
          <w:highlight w:val="none"/>
          <w:u w:val="none"/>
        </w:rPr>
      </w:pPr>
      <w:r>
        <w:rPr>
          <w:rFonts w:hint="eastAsia" w:ascii="宋体" w:hAnsi="宋体"/>
          <w:color w:val="auto"/>
          <w:szCs w:val="21"/>
          <w:highlight w:val="none"/>
          <w:u w:val="none"/>
        </w:rPr>
        <w:t xml:space="preserve">（2）地  址： </w:t>
      </w:r>
      <w:r>
        <w:rPr>
          <w:rFonts w:hint="eastAsia" w:ascii="宋体" w:hAnsi="宋体" w:eastAsia="宋体" w:cs="Times New Roman"/>
          <w:i w:val="0"/>
          <w:iCs w:val="0"/>
          <w:caps w:val="0"/>
          <w:color w:val="auto"/>
          <w:spacing w:val="0"/>
          <w:sz w:val="21"/>
          <w:szCs w:val="24"/>
          <w:highlight w:val="none"/>
          <w:shd w:val="clear"/>
        </w:rPr>
        <w:t>湖南省江华县沱江镇瑶都大道</w:t>
      </w:r>
      <w:r>
        <w:rPr>
          <w:rFonts w:hint="eastAsia" w:ascii="宋体" w:hAnsi="宋体" w:eastAsia="宋体" w:cs="Times New Roman"/>
          <w:color w:val="auto"/>
          <w:szCs w:val="24"/>
          <w:highlight w:val="none"/>
          <w:u w:val="none"/>
        </w:rPr>
        <w:t xml:space="preserve"> </w:t>
      </w:r>
    </w:p>
    <w:p>
      <w:pPr>
        <w:adjustRightInd w:val="0"/>
        <w:snapToGrid w:val="0"/>
        <w:spacing w:beforeLines="0" w:line="360" w:lineRule="auto"/>
        <w:ind w:firstLine="411" w:firstLineChars="196"/>
        <w:rPr>
          <w:rFonts w:hint="eastAsia" w:ascii="宋体" w:hAnsi="宋体" w:eastAsia="宋体" w:cs="Times New Roman"/>
          <w:bCs w:val="0"/>
          <w:color w:val="auto"/>
          <w:szCs w:val="24"/>
          <w:highlight w:val="none"/>
          <w:u w:val="none"/>
        </w:rPr>
      </w:pPr>
      <w:r>
        <w:rPr>
          <w:rFonts w:hint="eastAsia" w:ascii="宋体" w:hAnsi="宋体" w:eastAsia="宋体" w:cs="Times New Roman"/>
          <w:color w:val="auto"/>
          <w:szCs w:val="24"/>
          <w:highlight w:val="none"/>
          <w:u w:val="none"/>
        </w:rPr>
        <w:t>（3）</w:t>
      </w:r>
      <w:r>
        <w:rPr>
          <w:rFonts w:hint="eastAsia" w:ascii="宋体" w:hAnsi="宋体" w:eastAsia="宋体" w:cs="Times New Roman"/>
          <w:bCs w:val="0"/>
          <w:color w:val="auto"/>
          <w:szCs w:val="24"/>
          <w:highlight w:val="none"/>
          <w:u w:val="none"/>
        </w:rPr>
        <w:t>联系人：</w:t>
      </w:r>
      <w:r>
        <w:rPr>
          <w:rFonts w:hint="eastAsia" w:ascii="宋体" w:hAnsi="宋体" w:eastAsia="宋体" w:cs="Times New Roman"/>
          <w:color w:val="auto"/>
          <w:szCs w:val="24"/>
          <w:highlight w:val="none"/>
          <w:u w:val="none"/>
        </w:rPr>
        <w:t xml:space="preserve"> </w:t>
      </w:r>
      <w:r>
        <w:rPr>
          <w:rFonts w:hint="eastAsia" w:ascii="宋体" w:hAnsi="宋体" w:eastAsia="宋体" w:cs="Times New Roman"/>
          <w:i w:val="0"/>
          <w:iCs w:val="0"/>
          <w:caps w:val="0"/>
          <w:color w:val="auto"/>
          <w:spacing w:val="0"/>
          <w:sz w:val="21"/>
          <w:szCs w:val="24"/>
          <w:highlight w:val="none"/>
          <w:shd w:val="clear"/>
        </w:rPr>
        <w:t>汪先生</w:t>
      </w:r>
      <w:r>
        <w:rPr>
          <w:rFonts w:hint="eastAsia" w:ascii="宋体" w:hAnsi="宋体" w:eastAsia="宋体" w:cs="Times New Roman"/>
          <w:bCs w:val="0"/>
          <w:color w:val="auto"/>
          <w:szCs w:val="24"/>
          <w:highlight w:val="none"/>
          <w:u w:val="none"/>
          <w:lang w:val="en-US" w:eastAsia="zh-CN"/>
        </w:rPr>
        <w:t xml:space="preserve"> </w:t>
      </w:r>
      <w:r>
        <w:rPr>
          <w:rFonts w:hint="eastAsia" w:ascii="宋体" w:hAnsi="宋体" w:eastAsia="宋体" w:cs="Times New Roman"/>
          <w:bCs w:val="0"/>
          <w:color w:val="auto"/>
          <w:kern w:val="2"/>
          <w:szCs w:val="24"/>
          <w:highlight w:val="none"/>
          <w:u w:val="none"/>
        </w:rPr>
        <w:t xml:space="preserve">  </w:t>
      </w:r>
      <w:r>
        <w:rPr>
          <w:rFonts w:hint="eastAsia" w:ascii="宋体" w:hAnsi="宋体" w:eastAsia="宋体" w:cs="Times New Roman"/>
          <w:bCs w:val="0"/>
          <w:color w:val="auto"/>
          <w:szCs w:val="24"/>
          <w:highlight w:val="none"/>
          <w:u w:val="none"/>
        </w:rPr>
        <w:t xml:space="preserve">                       </w:t>
      </w:r>
    </w:p>
    <w:p>
      <w:pPr>
        <w:adjustRightInd w:val="0"/>
        <w:snapToGrid w:val="0"/>
        <w:spacing w:beforeLines="0" w:line="360" w:lineRule="auto"/>
        <w:ind w:firstLine="411" w:firstLineChars="196"/>
        <w:rPr>
          <w:rFonts w:hint="eastAsia" w:ascii="宋体" w:hAnsi="宋体" w:eastAsia="宋体" w:cs="Times New Roman"/>
          <w:color w:val="auto"/>
          <w:szCs w:val="24"/>
          <w:highlight w:val="none"/>
          <w:u w:val="none"/>
          <w:lang w:val="en-US" w:eastAsia="zh-CN"/>
        </w:rPr>
      </w:pPr>
      <w:r>
        <w:rPr>
          <w:rFonts w:hint="eastAsia" w:ascii="宋体" w:hAnsi="宋体" w:eastAsia="宋体" w:cs="Times New Roman"/>
          <w:color w:val="auto"/>
          <w:szCs w:val="24"/>
          <w:highlight w:val="none"/>
          <w:u w:val="none"/>
        </w:rPr>
        <w:t>（4）</w:t>
      </w:r>
      <w:r>
        <w:rPr>
          <w:rFonts w:hint="eastAsia" w:ascii="宋体" w:hAnsi="宋体" w:eastAsia="宋体" w:cs="Times New Roman"/>
          <w:bCs w:val="0"/>
          <w:color w:val="auto"/>
          <w:szCs w:val="24"/>
          <w:highlight w:val="none"/>
          <w:u w:val="none"/>
        </w:rPr>
        <w:t>电话：</w:t>
      </w:r>
      <w:r>
        <w:rPr>
          <w:rFonts w:hint="eastAsia" w:ascii="宋体" w:hAnsi="宋体" w:eastAsia="宋体" w:cs="Times New Roman"/>
          <w:bCs w:val="0"/>
          <w:color w:val="auto"/>
          <w:szCs w:val="24"/>
          <w:highlight w:val="none"/>
          <w:u w:val="none"/>
          <w:lang w:val="en-US" w:eastAsia="zh-CN"/>
        </w:rPr>
        <w:t xml:space="preserve"> </w:t>
      </w:r>
      <w:r>
        <w:rPr>
          <w:rFonts w:hint="eastAsia" w:ascii="宋体" w:hAnsi="宋体" w:eastAsia="宋体" w:cs="Times New Roman"/>
          <w:i w:val="0"/>
          <w:iCs w:val="0"/>
          <w:caps w:val="0"/>
          <w:color w:val="auto"/>
          <w:spacing w:val="0"/>
          <w:sz w:val="21"/>
          <w:szCs w:val="24"/>
          <w:highlight w:val="none"/>
          <w:shd w:val="clear"/>
        </w:rPr>
        <w:t>0746-2310516</w:t>
      </w:r>
      <w:r>
        <w:rPr>
          <w:rFonts w:hint="eastAsia" w:ascii="宋体" w:hAnsi="宋体" w:eastAsia="宋体" w:cs="Times New Roman"/>
          <w:bCs w:val="0"/>
          <w:color w:val="auto"/>
          <w:szCs w:val="24"/>
          <w:highlight w:val="none"/>
          <w:u w:val="none"/>
          <w:lang w:val="en-US" w:eastAsia="zh-CN"/>
        </w:rPr>
        <w:t xml:space="preserve"> 、15575307269</w:t>
      </w:r>
    </w:p>
    <w:p>
      <w:pPr>
        <w:widowControl/>
        <w:snapToGrid w:val="0"/>
        <w:spacing w:line="440" w:lineRule="atLeast"/>
        <w:jc w:val="left"/>
        <w:rPr>
          <w:rFonts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adjustRightInd w:val="0"/>
        <w:snapToGrid w:val="0"/>
        <w:spacing w:beforeLines="0" w:line="360" w:lineRule="auto"/>
        <w:ind w:firstLine="420" w:firstLineChars="200"/>
        <w:jc w:val="right"/>
        <w:rPr>
          <w:rFonts w:hint="default" w:hAnsi="宋体"/>
          <w:caps/>
          <w:color w:val="auto"/>
          <w:szCs w:val="21"/>
          <w:highlight w:val="none"/>
          <w:lang w:val="en-US" w:eastAsia="zh-CN"/>
        </w:rPr>
      </w:pPr>
      <w:r>
        <w:rPr>
          <w:rFonts w:hint="eastAsia" w:hAnsi="宋体"/>
          <w:caps/>
          <w:color w:val="auto"/>
          <w:szCs w:val="21"/>
          <w:highlight w:val="none"/>
          <w:lang w:val="en-US" w:eastAsia="zh-CN"/>
        </w:rPr>
        <w:t>202</w:t>
      </w:r>
      <w:r>
        <w:rPr>
          <w:rFonts w:hint="default" w:hAnsi="宋体"/>
          <w:caps/>
          <w:color w:val="auto"/>
          <w:szCs w:val="21"/>
          <w:highlight w:val="none"/>
          <w:lang w:eastAsia="zh-CN"/>
        </w:rPr>
        <w:t>3</w:t>
      </w:r>
      <w:r>
        <w:rPr>
          <w:rFonts w:hint="eastAsia" w:hAnsi="宋体"/>
          <w:caps/>
          <w:color w:val="auto"/>
          <w:szCs w:val="21"/>
          <w:highlight w:val="none"/>
          <w:lang w:val="en-US" w:eastAsia="zh-CN"/>
        </w:rPr>
        <w:t>年10月26日</w:t>
      </w: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widowControl/>
        <w:snapToGrid w:val="0"/>
        <w:spacing w:line="240" w:lineRule="auto"/>
        <w:jc w:val="left"/>
        <w:rPr>
          <w:rFonts w:hint="eastAsia" w:ascii="宋体" w:hAnsi="宋体" w:cs="宋体"/>
          <w:b/>
          <w:bCs/>
          <w:color w:val="auto"/>
          <w:kern w:val="0"/>
          <w:sz w:val="24"/>
          <w:highlight w:val="none"/>
        </w:rPr>
      </w:pPr>
    </w:p>
    <w:p>
      <w:pPr>
        <w:pStyle w:val="2"/>
        <w:rPr>
          <w:rFonts w:hint="eastAsia" w:ascii="宋体" w:hAnsi="宋体" w:cs="宋体"/>
          <w:b/>
          <w:bCs/>
          <w:color w:val="auto"/>
          <w:kern w:val="0"/>
          <w:sz w:val="24"/>
          <w:highlight w:val="none"/>
        </w:rPr>
      </w:pPr>
    </w:p>
    <w:p>
      <w:pPr>
        <w:pStyle w:val="3"/>
        <w:rPr>
          <w:rFonts w:hint="eastAsia" w:ascii="宋体" w:hAnsi="宋体" w:cs="宋体"/>
          <w:b/>
          <w:bCs/>
          <w:color w:val="auto"/>
          <w:kern w:val="0"/>
          <w:sz w:val="24"/>
          <w:highlight w:val="none"/>
        </w:rPr>
      </w:pPr>
    </w:p>
    <w:p>
      <w:pPr>
        <w:pStyle w:val="4"/>
        <w:rPr>
          <w:rFonts w:hint="eastAsia" w:ascii="宋体" w:hAnsi="宋体" w:cs="宋体"/>
          <w:b/>
          <w:bCs/>
          <w:color w:val="auto"/>
          <w:kern w:val="0"/>
          <w:sz w:val="24"/>
          <w:highlight w:val="none"/>
        </w:rPr>
      </w:pPr>
    </w:p>
    <w:p>
      <w:pPr>
        <w:rPr>
          <w:rFonts w:hint="eastAsia" w:ascii="宋体" w:hAnsi="宋体" w:cs="宋体"/>
          <w:b/>
          <w:bCs/>
          <w:color w:val="auto"/>
          <w:kern w:val="0"/>
          <w:sz w:val="24"/>
          <w:highlight w:val="none"/>
        </w:rPr>
      </w:pPr>
    </w:p>
    <w:p>
      <w:pPr>
        <w:pStyle w:val="2"/>
        <w:rPr>
          <w:rFonts w:hint="eastAsia" w:ascii="宋体" w:hAnsi="宋体" w:cs="宋体"/>
          <w:b/>
          <w:bCs/>
          <w:color w:val="auto"/>
          <w:kern w:val="0"/>
          <w:sz w:val="24"/>
          <w:highlight w:val="none"/>
        </w:rPr>
      </w:pPr>
    </w:p>
    <w:p>
      <w:pPr>
        <w:pStyle w:val="3"/>
        <w:rPr>
          <w:rFonts w:hint="eastAsia" w:ascii="宋体" w:hAnsi="宋体" w:cs="宋体"/>
          <w:b/>
          <w:bCs/>
          <w:color w:val="auto"/>
          <w:kern w:val="0"/>
          <w:sz w:val="24"/>
          <w:highlight w:val="none"/>
        </w:rPr>
      </w:pPr>
    </w:p>
    <w:p>
      <w:pPr>
        <w:pStyle w:val="4"/>
        <w:rPr>
          <w:rFonts w:hint="eastAsia" w:ascii="宋体" w:hAnsi="宋体" w:cs="宋体"/>
          <w:b/>
          <w:bCs/>
          <w:color w:val="auto"/>
          <w:kern w:val="0"/>
          <w:sz w:val="24"/>
          <w:highlight w:val="none"/>
        </w:rPr>
      </w:pPr>
    </w:p>
    <w:p>
      <w:pPr>
        <w:rPr>
          <w:rFonts w:hint="eastAsia" w:ascii="宋体" w:hAnsi="宋体" w:cs="宋体"/>
          <w:b/>
          <w:bCs/>
          <w:color w:val="auto"/>
          <w:kern w:val="0"/>
          <w:sz w:val="24"/>
          <w:highlight w:val="none"/>
        </w:rPr>
      </w:pPr>
    </w:p>
    <w:p>
      <w:pPr>
        <w:pStyle w:val="2"/>
        <w:rPr>
          <w:rFonts w:hint="eastAsia" w:ascii="宋体" w:hAnsi="宋体" w:cs="宋体"/>
          <w:b/>
          <w:bCs/>
          <w:color w:val="auto"/>
          <w:kern w:val="0"/>
          <w:sz w:val="24"/>
          <w:highlight w:val="none"/>
        </w:rPr>
      </w:pPr>
    </w:p>
    <w:p>
      <w:pPr>
        <w:widowControl/>
        <w:spacing w:before="0" w:afterAutospacing="0" w:line="240" w:lineRule="auto"/>
        <w:ind w:left="0" w:firstLine="0" w:firstLineChars="0"/>
        <w:rPr>
          <w:rFonts w:hint="eastAsia"/>
          <w:color w:val="auto"/>
          <w:highlight w:val="none"/>
          <w:lang w:val="en-US" w:eastAsia="zh-CN"/>
        </w:rPr>
      </w:pPr>
    </w:p>
    <w:p>
      <w:pPr>
        <w:pStyle w:val="16"/>
        <w:numPr>
          <w:ilvl w:val="0"/>
          <w:numId w:val="3"/>
        </w:numPr>
        <w:ind w:firstLine="3253" w:firstLineChars="900"/>
        <w:rPr>
          <w:rFonts w:hint="eastAsia"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询价须知</w:t>
      </w:r>
    </w:p>
    <w:p>
      <w:pPr>
        <w:pStyle w:val="16"/>
        <w:rPr>
          <w:rFonts w:hint="eastAsia" w:ascii="黑体" w:eastAsia="黑体"/>
          <w:b/>
          <w:color w:val="auto"/>
          <w:sz w:val="24"/>
          <w:szCs w:val="24"/>
          <w:highlight w:val="none"/>
        </w:rPr>
      </w:pPr>
      <w:r>
        <w:rPr>
          <w:rFonts w:hint="eastAsia" w:ascii="黑体" w:eastAsia="黑体"/>
          <w:b/>
          <w:color w:val="auto"/>
          <w:sz w:val="24"/>
          <w:szCs w:val="24"/>
          <w:highlight w:val="none"/>
        </w:rPr>
        <w:t>询价须知前附表</w:t>
      </w:r>
    </w:p>
    <w:tbl>
      <w:tblPr>
        <w:tblStyle w:val="29"/>
        <w:tblW w:w="959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2112"/>
        <w:gridCol w:w="61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1322" w:type="dxa"/>
            <w:noWrap w:val="0"/>
            <w:vAlign w:val="center"/>
          </w:tcPr>
          <w:p>
            <w:pPr>
              <w:adjustRightInd w:val="0"/>
              <w:snapToGrid w:val="0"/>
              <w:spacing w:line="44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条款号</w:t>
            </w:r>
          </w:p>
        </w:tc>
        <w:tc>
          <w:tcPr>
            <w:tcW w:w="2112" w:type="dxa"/>
            <w:noWrap w:val="0"/>
            <w:vAlign w:val="center"/>
          </w:tcPr>
          <w:p>
            <w:pPr>
              <w:adjustRightInd w:val="0"/>
              <w:snapToGrid w:val="0"/>
              <w:spacing w:line="44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条款名称</w:t>
            </w:r>
          </w:p>
        </w:tc>
        <w:tc>
          <w:tcPr>
            <w:tcW w:w="6156" w:type="dxa"/>
            <w:noWrap w:val="0"/>
            <w:vAlign w:val="center"/>
          </w:tcPr>
          <w:p>
            <w:pPr>
              <w:adjustRightInd w:val="0"/>
              <w:snapToGrid w:val="0"/>
              <w:spacing w:line="440" w:lineRule="exact"/>
              <w:jc w:val="center"/>
              <w:rPr>
                <w:rFonts w:hint="eastAsia" w:ascii="宋体" w:hAnsi="宋体" w:eastAsia="宋体"/>
                <w:b/>
                <w:color w:val="auto"/>
                <w:szCs w:val="21"/>
                <w:highlight w:val="none"/>
              </w:rPr>
            </w:pPr>
            <w:r>
              <w:rPr>
                <w:rFonts w:hint="eastAsia" w:ascii="宋体" w:hAnsi="宋体" w:eastAsia="宋体"/>
                <w:b/>
                <w:color w:val="auto"/>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9590" w:type="dxa"/>
            <w:gridSpan w:val="3"/>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第二章第1.1款</w:t>
            </w:r>
          </w:p>
        </w:tc>
        <w:tc>
          <w:tcPr>
            <w:tcW w:w="2112" w:type="dxa"/>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采购项目</w:t>
            </w:r>
          </w:p>
        </w:tc>
        <w:tc>
          <w:tcPr>
            <w:tcW w:w="6156" w:type="dxa"/>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color w:val="auto"/>
                <w:highlight w:val="none"/>
                <w:lang w:eastAsia="zh-CN"/>
              </w:rPr>
              <w:t>湖南省涔天河水库扩建工程灌区左、右渠首电站及跌水电站2023年度财产保险采购项目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47"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第二章第2.1款</w:t>
            </w:r>
          </w:p>
        </w:tc>
        <w:tc>
          <w:tcPr>
            <w:tcW w:w="2112" w:type="dxa"/>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采购人</w:t>
            </w:r>
          </w:p>
        </w:tc>
        <w:tc>
          <w:tcPr>
            <w:tcW w:w="6156" w:type="dxa"/>
            <w:noWrap w:val="0"/>
            <w:vAlign w:val="center"/>
          </w:tcPr>
          <w:p>
            <w:pPr>
              <w:adjustRightInd w:val="0"/>
              <w:snapToGrid w:val="0"/>
              <w:spacing w:beforeLines="0" w:line="360" w:lineRule="auto"/>
              <w:ind w:firstLine="0" w:firstLineChars="0"/>
              <w:rPr>
                <w:rFonts w:hint="eastAsia" w:ascii="宋体" w:hAnsi="宋体" w:eastAsia="宋体"/>
                <w:color w:val="auto"/>
                <w:highlight w:val="none"/>
                <w:lang w:eastAsia="zh-CN"/>
              </w:rPr>
            </w:pPr>
            <w:r>
              <w:rPr>
                <w:rFonts w:hint="eastAsia" w:ascii="宋体" w:hAnsi="宋体" w:eastAsia="宋体"/>
                <w:color w:val="auto"/>
                <w:highlight w:val="none"/>
              </w:rPr>
              <w:t>名称：</w:t>
            </w:r>
            <w:r>
              <w:rPr>
                <w:rFonts w:hint="eastAsia" w:ascii="宋体" w:hAnsi="宋体"/>
                <w:color w:val="auto"/>
                <w:highlight w:val="none"/>
                <w:lang w:eastAsia="zh-CN"/>
              </w:rPr>
              <w:t>永州涔天河灌区工程建设有限责任公司</w:t>
            </w:r>
          </w:p>
          <w:p>
            <w:pPr>
              <w:adjustRightInd w:val="0"/>
              <w:snapToGrid w:val="0"/>
              <w:spacing w:beforeLines="0" w:line="360" w:lineRule="auto"/>
              <w:ind w:firstLine="0" w:firstLineChars="0"/>
              <w:rPr>
                <w:rFonts w:hint="eastAsia" w:ascii="宋体" w:hAnsi="宋体" w:eastAsia="宋体" w:cs="Times New Roman"/>
                <w:color w:val="auto"/>
                <w:szCs w:val="24"/>
                <w:highlight w:val="none"/>
                <w:u w:val="none"/>
              </w:rPr>
            </w:pPr>
            <w:r>
              <w:rPr>
                <w:rFonts w:hint="eastAsia" w:ascii="宋体" w:hAnsi="宋体"/>
                <w:color w:val="auto"/>
                <w:szCs w:val="21"/>
                <w:highlight w:val="none"/>
                <w:u w:val="none"/>
              </w:rPr>
              <w:t xml:space="preserve">地  址： </w:t>
            </w:r>
            <w:r>
              <w:rPr>
                <w:rFonts w:hint="eastAsia" w:ascii="宋体" w:hAnsi="宋体" w:eastAsia="宋体" w:cs="Times New Roman"/>
                <w:i w:val="0"/>
                <w:iCs w:val="0"/>
                <w:caps w:val="0"/>
                <w:color w:val="auto"/>
                <w:spacing w:val="0"/>
                <w:sz w:val="21"/>
                <w:szCs w:val="24"/>
                <w:highlight w:val="none"/>
                <w:shd w:val="clear"/>
              </w:rPr>
              <w:t>湖南省江华县沱江镇瑶都大道</w:t>
            </w:r>
            <w:r>
              <w:rPr>
                <w:rFonts w:hint="eastAsia" w:ascii="宋体" w:hAnsi="宋体" w:eastAsia="宋体" w:cs="Times New Roman"/>
                <w:color w:val="auto"/>
                <w:szCs w:val="24"/>
                <w:highlight w:val="none"/>
                <w:u w:val="none"/>
              </w:rPr>
              <w:t xml:space="preserve"> </w:t>
            </w:r>
          </w:p>
          <w:p>
            <w:pPr>
              <w:adjustRightInd w:val="0"/>
              <w:snapToGrid w:val="0"/>
              <w:spacing w:beforeLines="0" w:line="360" w:lineRule="auto"/>
              <w:ind w:firstLine="0" w:firstLineChars="0"/>
              <w:rPr>
                <w:rFonts w:hint="eastAsia" w:ascii="宋体" w:hAnsi="宋体" w:eastAsia="宋体" w:cs="Times New Roman"/>
                <w:bCs w:val="0"/>
                <w:color w:val="auto"/>
                <w:szCs w:val="24"/>
                <w:highlight w:val="none"/>
                <w:u w:val="none"/>
              </w:rPr>
            </w:pPr>
            <w:r>
              <w:rPr>
                <w:rFonts w:hint="eastAsia" w:ascii="宋体" w:hAnsi="宋体" w:eastAsia="宋体" w:cs="Times New Roman"/>
                <w:bCs w:val="0"/>
                <w:color w:val="auto"/>
                <w:szCs w:val="24"/>
                <w:highlight w:val="none"/>
                <w:u w:val="none"/>
              </w:rPr>
              <w:t>联系人：</w:t>
            </w:r>
            <w:r>
              <w:rPr>
                <w:rFonts w:hint="eastAsia" w:ascii="宋体" w:hAnsi="宋体" w:eastAsia="宋体" w:cs="Times New Roman"/>
                <w:color w:val="auto"/>
                <w:szCs w:val="24"/>
                <w:highlight w:val="none"/>
                <w:u w:val="none"/>
              </w:rPr>
              <w:t xml:space="preserve"> </w:t>
            </w:r>
            <w:r>
              <w:rPr>
                <w:rFonts w:hint="eastAsia" w:ascii="宋体" w:hAnsi="宋体" w:eastAsia="宋体" w:cs="Times New Roman"/>
                <w:i w:val="0"/>
                <w:iCs w:val="0"/>
                <w:caps w:val="0"/>
                <w:color w:val="auto"/>
                <w:spacing w:val="0"/>
                <w:sz w:val="21"/>
                <w:szCs w:val="24"/>
                <w:highlight w:val="none"/>
                <w:shd w:val="clear"/>
              </w:rPr>
              <w:t>汪先生</w:t>
            </w:r>
            <w:r>
              <w:rPr>
                <w:rFonts w:hint="eastAsia" w:ascii="宋体" w:hAnsi="宋体" w:eastAsia="宋体" w:cs="Times New Roman"/>
                <w:bCs w:val="0"/>
                <w:color w:val="auto"/>
                <w:szCs w:val="24"/>
                <w:highlight w:val="none"/>
                <w:u w:val="none"/>
                <w:lang w:val="en-US" w:eastAsia="zh-CN"/>
              </w:rPr>
              <w:t xml:space="preserve"> </w:t>
            </w:r>
            <w:r>
              <w:rPr>
                <w:rFonts w:hint="eastAsia" w:ascii="宋体" w:hAnsi="宋体" w:eastAsia="宋体" w:cs="Times New Roman"/>
                <w:bCs w:val="0"/>
                <w:color w:val="auto"/>
                <w:kern w:val="2"/>
                <w:szCs w:val="24"/>
                <w:highlight w:val="none"/>
                <w:u w:val="none"/>
              </w:rPr>
              <w:t xml:space="preserve">  </w:t>
            </w:r>
            <w:r>
              <w:rPr>
                <w:rFonts w:hint="eastAsia" w:ascii="宋体" w:hAnsi="宋体" w:eastAsia="宋体" w:cs="Times New Roman"/>
                <w:bCs w:val="0"/>
                <w:color w:val="auto"/>
                <w:szCs w:val="24"/>
                <w:highlight w:val="none"/>
                <w:u w:val="none"/>
              </w:rPr>
              <w:t xml:space="preserve">                       </w:t>
            </w:r>
          </w:p>
          <w:p>
            <w:pPr>
              <w:adjustRightInd w:val="0"/>
              <w:snapToGrid w:val="0"/>
              <w:spacing w:beforeLines="0" w:line="360" w:lineRule="auto"/>
              <w:ind w:firstLine="0" w:firstLineChars="0"/>
              <w:rPr>
                <w:rFonts w:hint="eastAsia" w:ascii="宋体" w:hAnsi="宋体" w:eastAsia="宋体"/>
                <w:color w:val="auto"/>
                <w:szCs w:val="21"/>
                <w:highlight w:val="none"/>
                <w:lang w:eastAsia="zh-CN"/>
              </w:rPr>
            </w:pPr>
            <w:r>
              <w:rPr>
                <w:rFonts w:hint="eastAsia" w:ascii="宋体" w:hAnsi="宋体" w:eastAsia="宋体" w:cs="Times New Roman"/>
                <w:bCs w:val="0"/>
                <w:color w:val="auto"/>
                <w:szCs w:val="24"/>
                <w:highlight w:val="none"/>
                <w:u w:val="none"/>
              </w:rPr>
              <w:t>电话：</w:t>
            </w:r>
            <w:r>
              <w:rPr>
                <w:rFonts w:hint="eastAsia" w:ascii="宋体" w:hAnsi="宋体" w:eastAsia="宋体" w:cs="Times New Roman"/>
                <w:bCs w:val="0"/>
                <w:color w:val="auto"/>
                <w:szCs w:val="24"/>
                <w:highlight w:val="none"/>
                <w:u w:val="none"/>
                <w:lang w:val="en-US" w:eastAsia="zh-CN"/>
              </w:rPr>
              <w:t xml:space="preserve"> </w:t>
            </w:r>
            <w:r>
              <w:rPr>
                <w:rFonts w:hint="eastAsia" w:ascii="宋体" w:hAnsi="宋体" w:eastAsia="宋体" w:cs="Times New Roman"/>
                <w:i w:val="0"/>
                <w:iCs w:val="0"/>
                <w:caps w:val="0"/>
                <w:color w:val="auto"/>
                <w:spacing w:val="0"/>
                <w:sz w:val="21"/>
                <w:szCs w:val="24"/>
                <w:highlight w:val="none"/>
                <w:shd w:val="clear"/>
              </w:rPr>
              <w:t>0746-2310516</w:t>
            </w:r>
            <w:r>
              <w:rPr>
                <w:rFonts w:hint="eastAsia" w:ascii="宋体" w:hAnsi="宋体" w:eastAsia="宋体" w:cs="Times New Roman"/>
                <w:bCs w:val="0"/>
                <w:color w:val="auto"/>
                <w:szCs w:val="24"/>
                <w:highlight w:val="none"/>
                <w:u w:val="none"/>
                <w:lang w:val="en-US" w:eastAsia="zh-CN"/>
              </w:rPr>
              <w:t xml:space="preserve"> 、15575307269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1322" w:type="dxa"/>
            <w:vMerge w:val="restart"/>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第二章第2.3款</w:t>
            </w:r>
          </w:p>
        </w:tc>
        <w:tc>
          <w:tcPr>
            <w:tcW w:w="2112" w:type="dxa"/>
            <w:noWrap w:val="0"/>
            <w:vAlign w:val="center"/>
          </w:tcPr>
          <w:p>
            <w:pPr>
              <w:adjustRightInd w:val="0"/>
              <w:snapToGrid w:val="0"/>
              <w:spacing w:line="440" w:lineRule="exact"/>
              <w:rPr>
                <w:rFonts w:hint="eastAsia" w:ascii="宋体" w:hAnsi="宋体" w:eastAsia="宋体"/>
                <w:bCs/>
                <w:color w:val="auto"/>
                <w:szCs w:val="21"/>
                <w:highlight w:val="none"/>
              </w:rPr>
            </w:pPr>
            <w:r>
              <w:rPr>
                <w:rFonts w:hint="eastAsia" w:ascii="宋体" w:hAnsi="宋体" w:eastAsia="宋体" w:cs="宋体"/>
                <w:color w:val="auto"/>
                <w:kern w:val="0"/>
                <w:szCs w:val="21"/>
                <w:highlight w:val="none"/>
              </w:rPr>
              <w:t>供应商的</w:t>
            </w:r>
            <w:r>
              <w:rPr>
                <w:rFonts w:hint="eastAsia" w:ascii="宋体" w:hAnsi="宋体" w:eastAsia="宋体"/>
                <w:color w:val="auto"/>
                <w:szCs w:val="21"/>
                <w:highlight w:val="none"/>
              </w:rPr>
              <w:t>邀请方式</w:t>
            </w:r>
          </w:p>
        </w:tc>
        <w:tc>
          <w:tcPr>
            <w:tcW w:w="6156" w:type="dxa"/>
            <w:noWrap w:val="0"/>
            <w:vAlign w:val="center"/>
          </w:tcPr>
          <w:p>
            <w:pPr>
              <w:adjustRightInd w:val="0"/>
              <w:snapToGrid w:val="0"/>
              <w:spacing w:line="36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由采购人</w:t>
            </w:r>
            <w:r>
              <w:rPr>
                <w:rFonts w:hint="eastAsia" w:ascii="宋体" w:hAnsi="宋体"/>
                <w:color w:val="auto"/>
                <w:szCs w:val="21"/>
                <w:highlight w:val="none"/>
                <w:lang w:eastAsia="zh-CN"/>
              </w:rPr>
              <w:t>发布询价公告</w:t>
            </w:r>
            <w:r>
              <w:rPr>
                <w:rFonts w:hint="eastAsia" w:ascii="宋体" w:hAnsi="宋体"/>
                <w:color w:val="auto"/>
                <w:szCs w:val="21"/>
                <w:highlight w:val="none"/>
              </w:rPr>
              <w:t>的方式邀请不少于3家符合相应资格条件的供应商参与询价。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322" w:type="dxa"/>
            <w:vMerge w:val="continue"/>
            <w:noWrap w:val="0"/>
            <w:vAlign w:val="center"/>
          </w:tcPr>
          <w:p>
            <w:pPr>
              <w:adjustRightInd w:val="0"/>
              <w:snapToGrid w:val="0"/>
              <w:spacing w:line="440" w:lineRule="exact"/>
              <w:jc w:val="center"/>
              <w:rPr>
                <w:rFonts w:hint="eastAsia" w:ascii="宋体" w:hAnsi="宋体" w:eastAsia="宋体"/>
                <w:color w:val="auto"/>
                <w:szCs w:val="21"/>
                <w:highlight w:val="none"/>
              </w:rPr>
            </w:pPr>
          </w:p>
        </w:tc>
        <w:tc>
          <w:tcPr>
            <w:tcW w:w="2112" w:type="dxa"/>
            <w:noWrap w:val="0"/>
            <w:vAlign w:val="center"/>
          </w:tcPr>
          <w:p>
            <w:pPr>
              <w:adjustRightInd w:val="0"/>
              <w:snapToGrid w:val="0"/>
              <w:spacing w:line="240" w:lineRule="auto"/>
              <w:rPr>
                <w:rFonts w:hint="eastAsia" w:ascii="宋体" w:hAnsi="宋体" w:eastAsia="宋体"/>
                <w:color w:val="auto"/>
                <w:szCs w:val="21"/>
                <w:highlight w:val="none"/>
              </w:rPr>
            </w:pPr>
            <w:r>
              <w:rPr>
                <w:rFonts w:hint="eastAsia" w:ascii="宋体" w:hAnsi="宋体" w:eastAsia="宋体"/>
                <w:color w:val="auto"/>
                <w:szCs w:val="21"/>
                <w:highlight w:val="none"/>
              </w:rPr>
              <w:t>领取</w:t>
            </w:r>
            <w:r>
              <w:rPr>
                <w:rFonts w:ascii="宋体" w:hAnsi="宋体" w:eastAsia="宋体"/>
                <w:color w:val="auto"/>
                <w:szCs w:val="21"/>
                <w:highlight w:val="none"/>
              </w:rPr>
              <w:t>或</w:t>
            </w:r>
            <w:r>
              <w:rPr>
                <w:rFonts w:hint="eastAsia" w:ascii="宋体" w:hAnsi="宋体" w:eastAsia="宋体"/>
                <w:color w:val="auto"/>
                <w:szCs w:val="21"/>
                <w:highlight w:val="none"/>
              </w:rPr>
              <w:t>购买询价通知书时应提供的资料</w:t>
            </w:r>
          </w:p>
        </w:tc>
        <w:tc>
          <w:tcPr>
            <w:tcW w:w="6156" w:type="dxa"/>
            <w:noWrap w:val="0"/>
            <w:vAlign w:val="center"/>
          </w:tcPr>
          <w:p>
            <w:pPr>
              <w:adjustRightInd w:val="0"/>
              <w:snapToGrid w:val="0"/>
              <w:spacing w:line="440" w:lineRule="exact"/>
              <w:jc w:val="left"/>
              <w:rPr>
                <w:rFonts w:ascii="宋体" w:hAnsi="宋体" w:eastAsia="宋体"/>
                <w:color w:val="auto"/>
                <w:szCs w:val="21"/>
                <w:highlight w:val="none"/>
              </w:rPr>
            </w:pPr>
            <w:r>
              <w:rPr>
                <w:rFonts w:hint="eastAsia" w:ascii="宋体" w:hAnsi="宋体" w:eastAsia="宋体"/>
                <w:color w:val="auto"/>
                <w:szCs w:val="21"/>
                <w:highlight w:val="none"/>
              </w:rPr>
              <w:t>详见</w:t>
            </w:r>
            <w:r>
              <w:rPr>
                <w:rFonts w:hint="eastAsia" w:ascii="宋体" w:hAnsi="宋体"/>
                <w:color w:val="auto"/>
                <w:szCs w:val="21"/>
                <w:highlight w:val="none"/>
                <w:lang w:val="en-US" w:eastAsia="zh-CN"/>
              </w:rPr>
              <w:t>询价通知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22" w:type="dxa"/>
            <w:tcBorders>
              <w:bottom w:val="single" w:color="auto" w:sz="4" w:space="0"/>
            </w:tcBorders>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第二章第3.1款</w:t>
            </w:r>
          </w:p>
        </w:tc>
        <w:tc>
          <w:tcPr>
            <w:tcW w:w="2112" w:type="dxa"/>
            <w:tcBorders>
              <w:bottom w:val="single" w:color="auto" w:sz="4" w:space="0"/>
            </w:tcBorders>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bCs/>
                <w:color w:val="auto"/>
                <w:szCs w:val="21"/>
                <w:highlight w:val="none"/>
              </w:rPr>
              <w:t>供应商</w:t>
            </w:r>
            <w:r>
              <w:rPr>
                <w:rFonts w:hint="eastAsia" w:ascii="宋体" w:hAnsi="宋体" w:eastAsia="宋体"/>
                <w:color w:val="auto"/>
                <w:szCs w:val="21"/>
                <w:highlight w:val="none"/>
              </w:rPr>
              <w:t>资格条件</w:t>
            </w:r>
          </w:p>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 </w:t>
            </w:r>
          </w:p>
        </w:tc>
        <w:tc>
          <w:tcPr>
            <w:tcW w:w="615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一、资格条件：</w:t>
            </w:r>
          </w:p>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详见“第一章 </w:t>
            </w:r>
            <w:r>
              <w:rPr>
                <w:rFonts w:hint="eastAsia" w:ascii="宋体" w:hAnsi="宋体" w:cs="宋体"/>
                <w:color w:val="auto"/>
                <w:sz w:val="21"/>
                <w:szCs w:val="21"/>
                <w:highlight w:val="none"/>
                <w:lang w:eastAsia="zh-CN"/>
              </w:rPr>
              <w:t>询价</w:t>
            </w:r>
            <w:r>
              <w:rPr>
                <w:rFonts w:hint="eastAsia" w:ascii="宋体" w:hAnsi="宋体" w:eastAsia="宋体" w:cs="宋体"/>
                <w:color w:val="auto"/>
                <w:sz w:val="21"/>
                <w:szCs w:val="21"/>
                <w:highlight w:val="none"/>
              </w:rPr>
              <w:t>邀请”第三条供应商的资格要求。</w:t>
            </w:r>
          </w:p>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二、资格证明文件复印件须加盖投标人章。</w:t>
            </w:r>
          </w:p>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三、投标人有下列情形之一的，视为无效投标（★）：</w:t>
            </w:r>
          </w:p>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（1）有一项资格证明文件未提交的；</w:t>
            </w:r>
          </w:p>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（2）提供不符合要求或虚假资格证明文件的；</w:t>
            </w:r>
          </w:p>
          <w:p>
            <w:pPr>
              <w:keepNext w:val="0"/>
              <w:keepLines w:val="0"/>
              <w:pageBreakBefore w:val="0"/>
              <w:widowControl w:val="0"/>
              <w:kinsoku/>
              <w:wordWrap/>
              <w:overflowPunct/>
              <w:topLinePunct w:val="0"/>
              <w:autoSpaceDE/>
              <w:autoSpaceDN/>
              <w:bidi w:val="0"/>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（3）资格证明文件过了有效期或未年审年检的；</w:t>
            </w:r>
          </w:p>
          <w:p>
            <w:pPr>
              <w:widowControl/>
              <w:adjustRightInd w:val="0"/>
              <w:snapToGrid w:val="0"/>
              <w:spacing w:beforeLines="0" w:line="480" w:lineRule="exact"/>
              <w:ind w:firstLine="0" w:firstLineChars="0"/>
              <w:jc w:val="both"/>
              <w:rPr>
                <w:rFonts w:hint="eastAsia" w:cs="宋体"/>
                <w:i w:val="0"/>
                <w:caps w:val="0"/>
                <w:color w:val="auto"/>
                <w:spacing w:val="0"/>
                <w:kern w:val="0"/>
                <w:sz w:val="21"/>
                <w:szCs w:val="21"/>
                <w:highlight w:val="none"/>
                <w:lang w:eastAsia="zh-CN"/>
              </w:rPr>
            </w:pPr>
            <w:r>
              <w:rPr>
                <w:rFonts w:hint="eastAsia" w:ascii="宋体" w:hAnsi="宋体" w:eastAsia="宋体" w:cs="宋体"/>
                <w:color w:val="auto"/>
                <w:sz w:val="21"/>
                <w:szCs w:val="21"/>
                <w:highlight w:val="none"/>
              </w:rPr>
              <w:t>（4）资格证明文件复印件未加盖投标人印章的。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1322" w:type="dxa"/>
            <w:noWrap w:val="0"/>
            <w:vAlign w:val="center"/>
          </w:tcPr>
          <w:p>
            <w:pPr>
              <w:adjustRightInd w:val="0"/>
              <w:snapToGrid w:val="0"/>
              <w:spacing w:line="24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第二章第6.1款</w:t>
            </w:r>
          </w:p>
        </w:tc>
        <w:tc>
          <w:tcPr>
            <w:tcW w:w="2112" w:type="dxa"/>
            <w:tcBorders>
              <w:top w:val="single" w:color="auto" w:sz="4" w:space="0"/>
            </w:tcBorders>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联合体形式</w:t>
            </w:r>
          </w:p>
        </w:tc>
        <w:tc>
          <w:tcPr>
            <w:tcW w:w="6156" w:type="dxa"/>
            <w:noWrap w:val="0"/>
            <w:vAlign w:val="center"/>
          </w:tcPr>
          <w:p>
            <w:pPr>
              <w:adjustRightInd w:val="0"/>
              <w:snapToGrid w:val="0"/>
              <w:spacing w:beforeLines="50" w:line="240" w:lineRule="auto"/>
              <w:rPr>
                <w:rFonts w:hint="eastAsia" w:ascii="宋体" w:hAnsi="宋体" w:eastAsia="宋体"/>
                <w:color w:val="auto"/>
                <w:szCs w:val="21"/>
                <w:highlight w:val="none"/>
              </w:rPr>
            </w:pPr>
            <w:r>
              <w:rPr>
                <w:rFonts w:hint="eastAsia" w:ascii="宋体" w:hAnsi="宋体"/>
                <w:color w:val="auto"/>
                <w:szCs w:val="21"/>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第二章第7.1款</w:t>
            </w:r>
          </w:p>
        </w:tc>
        <w:tc>
          <w:tcPr>
            <w:tcW w:w="2112" w:type="dxa"/>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现场勘察</w:t>
            </w:r>
          </w:p>
        </w:tc>
        <w:tc>
          <w:tcPr>
            <w:tcW w:w="6156" w:type="dxa"/>
            <w:noWrap w:val="0"/>
            <w:vAlign w:val="center"/>
          </w:tcPr>
          <w:p>
            <w:pPr>
              <w:adjustRightInd w:val="0"/>
              <w:snapToGrid w:val="0"/>
              <w:spacing w:line="240" w:lineRule="auto"/>
              <w:rPr>
                <w:rFonts w:hint="eastAsia" w:ascii="宋体" w:hAnsi="宋体" w:eastAsia="宋体"/>
                <w:color w:val="auto"/>
                <w:szCs w:val="21"/>
                <w:highlight w:val="none"/>
              </w:rPr>
            </w:pPr>
            <w:r>
              <w:rPr>
                <w:rFonts w:hint="eastAsia" w:ascii="宋体" w:hAnsi="宋体"/>
                <w:color w:val="auto"/>
                <w:szCs w:val="21"/>
                <w:highlight w:val="none"/>
              </w:rPr>
              <w:t>采购人不组织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322" w:type="dxa"/>
            <w:noWrap w:val="0"/>
            <w:vAlign w:val="center"/>
          </w:tcPr>
          <w:p>
            <w:pPr>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第二章第8.1款</w:t>
            </w:r>
          </w:p>
        </w:tc>
        <w:tc>
          <w:tcPr>
            <w:tcW w:w="2112" w:type="dxa"/>
            <w:noWrap w:val="0"/>
            <w:vAlign w:val="center"/>
          </w:tcPr>
          <w:p>
            <w:pPr>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采购进口产品</w:t>
            </w:r>
          </w:p>
        </w:tc>
        <w:tc>
          <w:tcPr>
            <w:tcW w:w="6156" w:type="dxa"/>
            <w:noWrap w:val="0"/>
            <w:vAlign w:val="center"/>
          </w:tcPr>
          <w:p>
            <w:pPr>
              <w:adjustRightInd w:val="0"/>
              <w:snapToGrid w:val="0"/>
              <w:spacing w:beforeLines="50" w:line="240" w:lineRule="auto"/>
              <w:rPr>
                <w:rFonts w:hint="eastAsia" w:ascii="宋体" w:hAnsi="宋体" w:eastAsia="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szCs w:val="21"/>
                <w:highlight w:val="none"/>
                <w:lang w:eastAsia="zh-CN"/>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 xml:space="preserve">  本项目</w:t>
            </w:r>
            <w:r>
              <w:rPr>
                <w:rFonts w:hint="eastAsia" w:ascii="宋体" w:hAnsi="宋体" w:cs="宋体"/>
                <w:color w:val="auto"/>
                <w:kern w:val="0"/>
                <w:szCs w:val="21"/>
                <w:highlight w:val="none"/>
              </w:rPr>
              <w:t>拒绝进口产品参加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322" w:type="dxa"/>
            <w:noWrap w:val="0"/>
            <w:vAlign w:val="center"/>
          </w:tcPr>
          <w:p>
            <w:pPr>
              <w:keepNext w:val="0"/>
              <w:keepLines w:val="0"/>
              <w:pageBreakBefore w:val="0"/>
              <w:kinsoku/>
              <w:wordWrap/>
              <w:overflowPunct/>
              <w:bidi w:val="0"/>
              <w:spacing w:line="360"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第二章第9.1款</w:t>
            </w:r>
          </w:p>
        </w:tc>
        <w:tc>
          <w:tcPr>
            <w:tcW w:w="2112" w:type="dxa"/>
            <w:noWrap w:val="0"/>
            <w:vAlign w:val="center"/>
          </w:tcPr>
          <w:p>
            <w:pPr>
              <w:keepNext w:val="0"/>
              <w:keepLines w:val="0"/>
              <w:pageBreakBefore w:val="0"/>
              <w:kinsoku/>
              <w:wordWrap/>
              <w:overflowPunct/>
              <w:bidi w:val="0"/>
              <w:spacing w:line="240"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政府采购强制采购：(1)标记★符号的节能产品；(2)其他。</w:t>
            </w:r>
          </w:p>
        </w:tc>
        <w:tc>
          <w:tcPr>
            <w:tcW w:w="6156" w:type="dxa"/>
            <w:noWrap w:val="0"/>
            <w:vAlign w:val="center"/>
          </w:tcPr>
          <w:p>
            <w:pPr>
              <w:keepNext w:val="0"/>
              <w:keepLines w:val="0"/>
              <w:pageBreakBefore w:val="0"/>
              <w:kinsoku/>
              <w:wordWrap/>
              <w:overflowPunct/>
              <w:bidi w:val="0"/>
              <w:spacing w:line="360" w:lineRule="auto"/>
              <w:ind w:left="0" w:right="0" w:rightChars="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position w:val="2"/>
                <w:sz w:val="13"/>
                <w:szCs w:val="21"/>
                <w:highlight w:val="none"/>
              </w:rPr>
              <w:instrText xml:space="preserve">√</w:instrText>
            </w:r>
            <w:r>
              <w:rPr>
                <w:rFonts w:hint="eastAsia" w:ascii="宋体" w:hAnsi="宋体" w:eastAsia="宋体" w:cs="宋体"/>
                <w:b/>
                <w:bCs/>
                <w:color w:val="auto"/>
                <w:szCs w:val="21"/>
                <w:highlight w:val="none"/>
              </w:rPr>
              <w:instrText xml:space="preserve">)</w:instrText>
            </w:r>
            <w:r>
              <w:rPr>
                <w:rFonts w:hint="eastAsia" w:ascii="宋体" w:hAnsi="宋体" w:eastAsia="宋体" w:cs="宋体"/>
                <w:b/>
                <w:bCs/>
                <w:color w:val="auto"/>
                <w:szCs w:val="21"/>
                <w:highlight w:val="none"/>
              </w:rPr>
              <w:fldChar w:fldCharType="end"/>
            </w:r>
            <w:r>
              <w:rPr>
                <w:rFonts w:hint="eastAsia" w:ascii="宋体" w:hAnsi="宋体" w:eastAsia="宋体" w:cs="宋体"/>
                <w:color w:val="auto"/>
                <w:szCs w:val="21"/>
                <w:highlight w:val="none"/>
              </w:rPr>
              <w:t xml:space="preserve"> 否</w:t>
            </w:r>
          </w:p>
          <w:p>
            <w:pPr>
              <w:keepNext w:val="0"/>
              <w:keepLines w:val="0"/>
              <w:pageBreakBefore w:val="0"/>
              <w:kinsoku/>
              <w:wordWrap/>
              <w:overflowPunct/>
              <w:bidi w:val="0"/>
              <w:spacing w:line="360"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 xml:space="preserve"> 是，采购《节能产品政府采购清单》(第十六期) 内的产品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 w:hRule="atLeast"/>
          <w:jc w:val="center"/>
        </w:trPr>
        <w:tc>
          <w:tcPr>
            <w:tcW w:w="1322" w:type="dxa"/>
            <w:noWrap w:val="0"/>
            <w:vAlign w:val="top"/>
          </w:tcPr>
          <w:p>
            <w:pPr>
              <w:adjustRightInd w:val="0"/>
              <w:snapToGrid w:val="0"/>
              <w:rPr>
                <w:rFonts w:ascii="宋体" w:hAnsi="宋体"/>
                <w:color w:val="auto"/>
                <w:szCs w:val="21"/>
                <w:highlight w:val="none"/>
              </w:rPr>
            </w:pPr>
          </w:p>
          <w:p>
            <w:pPr>
              <w:adjustRightInd w:val="0"/>
              <w:snapToGrid w:val="0"/>
              <w:rPr>
                <w:rFonts w:ascii="宋体" w:hAnsi="宋体"/>
                <w:color w:val="auto"/>
                <w:szCs w:val="21"/>
                <w:highlight w:val="none"/>
              </w:rPr>
            </w:pPr>
          </w:p>
          <w:p>
            <w:pPr>
              <w:adjustRightInd w:val="0"/>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第二章第9.2款</w:t>
            </w:r>
          </w:p>
        </w:tc>
        <w:tc>
          <w:tcPr>
            <w:tcW w:w="2112" w:type="dxa"/>
            <w:noWrap w:val="0"/>
            <w:vAlign w:val="top"/>
          </w:tcPr>
          <w:p>
            <w:pPr>
              <w:adjustRightInd w:val="0"/>
              <w:snapToGrid w:val="0"/>
              <w:rPr>
                <w:rFonts w:ascii="宋体" w:hAnsi="宋体"/>
                <w:color w:val="auto"/>
                <w:szCs w:val="21"/>
                <w:highlight w:val="none"/>
              </w:rPr>
            </w:pPr>
            <w:r>
              <w:rPr>
                <w:rFonts w:hint="eastAsia" w:ascii="宋体" w:hAnsi="宋体"/>
                <w:color w:val="auto"/>
                <w:szCs w:val="21"/>
                <w:highlight w:val="none"/>
              </w:rPr>
              <w:t>政府采购优先采购：(1)非标记★符号的节能产品；</w:t>
            </w:r>
          </w:p>
          <w:p>
            <w:pPr>
              <w:adjustRightInd w:val="0"/>
              <w:snapToGrid w:val="0"/>
              <w:rPr>
                <w:rFonts w:ascii="宋体" w:hAnsi="宋体"/>
                <w:color w:val="auto"/>
                <w:szCs w:val="21"/>
                <w:highlight w:val="none"/>
              </w:rPr>
            </w:pPr>
            <w:r>
              <w:rPr>
                <w:rFonts w:hint="eastAsia" w:ascii="宋体" w:hAnsi="宋体"/>
                <w:color w:val="auto"/>
                <w:szCs w:val="21"/>
                <w:highlight w:val="none"/>
              </w:rPr>
              <w:t>(2)环境标志产品；(3)两型产品；</w:t>
            </w:r>
          </w:p>
          <w:p>
            <w:pPr>
              <w:adjustRightInd w:val="0"/>
              <w:snapToGrid w:val="0"/>
              <w:rPr>
                <w:rFonts w:ascii="宋体" w:hAnsi="宋体"/>
                <w:color w:val="auto"/>
                <w:szCs w:val="21"/>
                <w:highlight w:val="none"/>
              </w:rPr>
            </w:pPr>
            <w:r>
              <w:rPr>
                <w:rFonts w:hint="eastAsia" w:ascii="宋体" w:hAnsi="宋体"/>
                <w:color w:val="auto"/>
                <w:szCs w:val="21"/>
                <w:highlight w:val="none"/>
              </w:rPr>
              <w:t>(4)</w:t>
            </w: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p>
            <w:pPr>
              <w:adjustRightInd w:val="0"/>
              <w:snapToGrid w:val="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(5)其他。</w:t>
            </w:r>
          </w:p>
        </w:tc>
        <w:tc>
          <w:tcPr>
            <w:tcW w:w="6156" w:type="dxa"/>
            <w:noWrap w:val="0"/>
            <w:vAlign w:val="top"/>
          </w:tcPr>
          <w:p>
            <w:pPr>
              <w:adjustRightInd w:val="0"/>
              <w:snapToGrid w:val="0"/>
              <w:spacing w:beforeLines="50"/>
              <w:rPr>
                <w:rFonts w:hint="eastAsia" w:ascii="宋体" w:hAnsi="宋体" w:eastAsia="宋体"/>
                <w:color w:val="auto"/>
                <w:szCs w:val="21"/>
                <w:highlight w:val="none"/>
                <w:lang w:eastAsia="zh-CN"/>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eq \o\ac(□,</w:instrText>
            </w:r>
            <w:r>
              <w:rPr>
                <w:rFonts w:hint="eastAsia" w:ascii="宋体" w:hAnsi="宋体" w:eastAsia="宋体" w:cs="宋体"/>
                <w:b/>
                <w:bCs/>
                <w:color w:val="auto"/>
                <w:position w:val="2"/>
                <w:sz w:val="13"/>
                <w:szCs w:val="21"/>
                <w:highlight w:val="none"/>
              </w:rPr>
              <w:instrText xml:space="preserve">√</w:instrText>
            </w:r>
            <w:r>
              <w:rPr>
                <w:rFonts w:hint="eastAsia" w:ascii="宋体" w:hAnsi="宋体" w:eastAsia="宋体" w:cs="宋体"/>
                <w:b/>
                <w:bCs/>
                <w:color w:val="auto"/>
                <w:szCs w:val="21"/>
                <w:highlight w:val="none"/>
              </w:rPr>
              <w:instrText xml:space="preserve">)</w:instrText>
            </w:r>
            <w:r>
              <w:rPr>
                <w:rFonts w:hint="eastAsia" w:ascii="宋体" w:hAnsi="宋体" w:eastAsia="宋体" w:cs="宋体"/>
                <w:b/>
                <w:bCs/>
                <w:color w:val="auto"/>
                <w:szCs w:val="21"/>
                <w:highlight w:val="none"/>
              </w:rPr>
              <w:fldChar w:fldCharType="end"/>
            </w:r>
            <w:r>
              <w:rPr>
                <w:rFonts w:hint="eastAsia" w:ascii="宋体" w:hAnsi="宋体" w:eastAsia="宋体" w:cs="宋体"/>
                <w:color w:val="auto"/>
                <w:szCs w:val="21"/>
                <w:highlight w:val="none"/>
              </w:rPr>
              <w:t xml:space="preserve"> 否</w:t>
            </w:r>
          </w:p>
          <w:p>
            <w:pPr>
              <w:adjustRightInd w:val="0"/>
              <w:snapToGrid w:val="0"/>
              <w:spacing w:beforeLines="50"/>
              <w:rPr>
                <w:rFonts w:hint="eastAsia" w:ascii="宋体" w:hAnsi="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eq \o\ac(□)</w:instrTex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是</w:t>
            </w:r>
          </w:p>
          <w:p>
            <w:pPr>
              <w:adjustRightInd w:val="0"/>
              <w:snapToGrid w:val="0"/>
              <w:spacing w:beforeLines="50"/>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（本项目不</w:t>
            </w:r>
            <w:r>
              <w:rPr>
                <w:rFonts w:hint="eastAsia" w:ascii="宋体" w:hAnsi="宋体" w:cs="宋体"/>
                <w:b/>
                <w:bCs/>
                <w:color w:val="auto"/>
                <w:sz w:val="21"/>
                <w:szCs w:val="21"/>
                <w:highlight w:val="none"/>
                <w:lang w:eastAsia="zh-CN"/>
              </w:rPr>
              <w:t>要求</w:t>
            </w:r>
            <w:r>
              <w:rPr>
                <w:rFonts w:hint="eastAsia" w:ascii="宋体" w:hAnsi="宋体" w:eastAsia="宋体" w:cs="宋体"/>
                <w:b/>
                <w:bCs/>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9590" w:type="dxa"/>
            <w:gridSpan w:val="3"/>
            <w:noWrap w:val="0"/>
            <w:vAlign w:val="center"/>
          </w:tcPr>
          <w:p>
            <w:pPr>
              <w:adjustRightInd w:val="0"/>
              <w:snapToGrid w:val="0"/>
              <w:spacing w:line="4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二、询价通知书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1" w:hRule="atLeast"/>
          <w:jc w:val="center"/>
        </w:trPr>
        <w:tc>
          <w:tcPr>
            <w:tcW w:w="1322" w:type="dxa"/>
            <w:noWrap w:val="0"/>
            <w:vAlign w:val="center"/>
          </w:tcPr>
          <w:p>
            <w:pPr>
              <w:adjustRightInd w:val="0"/>
              <w:snapToGrid w:val="0"/>
              <w:spacing w:line="24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第二章第11.1款</w:t>
            </w:r>
          </w:p>
        </w:tc>
        <w:tc>
          <w:tcPr>
            <w:tcW w:w="2112" w:type="dxa"/>
            <w:noWrap w:val="0"/>
            <w:vAlign w:val="center"/>
          </w:tcPr>
          <w:p>
            <w:pPr>
              <w:adjustRightInd w:val="0"/>
              <w:snapToGrid w:val="0"/>
              <w:spacing w:line="240" w:lineRule="auto"/>
              <w:rPr>
                <w:rFonts w:hint="eastAsia" w:ascii="宋体" w:hAnsi="宋体" w:eastAsia="宋体"/>
                <w:color w:val="auto"/>
                <w:szCs w:val="21"/>
                <w:highlight w:val="none"/>
              </w:rPr>
            </w:pPr>
            <w:r>
              <w:rPr>
                <w:rFonts w:hint="eastAsia" w:ascii="宋体" w:hAnsi="宋体" w:eastAsia="宋体"/>
                <w:color w:val="auto"/>
                <w:szCs w:val="21"/>
                <w:highlight w:val="none"/>
              </w:rPr>
              <w:t>提交响应文件的截止时间</w:t>
            </w:r>
          </w:p>
        </w:tc>
        <w:tc>
          <w:tcPr>
            <w:tcW w:w="6156" w:type="dxa"/>
            <w:noWrap w:val="0"/>
            <w:vAlign w:val="center"/>
          </w:tcPr>
          <w:p>
            <w:pPr>
              <w:adjustRightInd w:val="0"/>
              <w:snapToGrid w:val="0"/>
              <w:spacing w:line="440" w:lineRule="exact"/>
              <w:jc w:val="left"/>
              <w:rPr>
                <w:rFonts w:hint="eastAsia" w:ascii="宋体" w:hAnsi="宋体"/>
                <w:color w:val="auto"/>
                <w:highlight w:val="none"/>
                <w:lang w:eastAsia="zh-CN"/>
              </w:rPr>
            </w:pPr>
            <w:r>
              <w:rPr>
                <w:rFonts w:hint="eastAsia" w:ascii="宋体" w:hAnsi="宋体" w:cs="微软雅黑"/>
                <w:color w:val="auto"/>
                <w:kern w:val="0"/>
                <w:szCs w:val="21"/>
                <w:highlight w:val="none"/>
                <w:u w:val="single"/>
                <w:lang w:eastAsia="zh-CN"/>
              </w:rPr>
              <w:t xml:space="preserve"> 202</w:t>
            </w:r>
            <w:r>
              <w:rPr>
                <w:rFonts w:hint="default" w:ascii="宋体" w:hAnsi="宋体" w:cs="微软雅黑"/>
                <w:color w:val="auto"/>
                <w:kern w:val="0"/>
                <w:szCs w:val="21"/>
                <w:highlight w:val="none"/>
                <w:u w:val="single"/>
                <w:lang w:eastAsia="zh-CN"/>
              </w:rPr>
              <w:t>3</w:t>
            </w:r>
            <w:r>
              <w:rPr>
                <w:rFonts w:hint="eastAsia" w:ascii="宋体" w:hAnsi="宋体" w:cs="微软雅黑"/>
                <w:color w:val="auto"/>
                <w:kern w:val="0"/>
                <w:szCs w:val="21"/>
                <w:highlight w:val="none"/>
                <w:u w:val="single"/>
                <w:lang w:eastAsia="zh-CN"/>
              </w:rPr>
              <w:t xml:space="preserve"> 年 </w:t>
            </w:r>
            <w:r>
              <w:rPr>
                <w:rFonts w:hint="eastAsia" w:ascii="宋体" w:hAnsi="宋体" w:cs="微软雅黑"/>
                <w:color w:val="auto"/>
                <w:kern w:val="0"/>
                <w:szCs w:val="21"/>
                <w:highlight w:val="none"/>
                <w:u w:val="single"/>
                <w:lang w:val="en-US" w:eastAsia="zh-CN"/>
              </w:rPr>
              <w:t xml:space="preserve">11 </w:t>
            </w:r>
            <w:r>
              <w:rPr>
                <w:rFonts w:hint="eastAsia" w:ascii="宋体" w:hAnsi="宋体" w:cs="微软雅黑"/>
                <w:color w:val="auto"/>
                <w:spacing w:val="-2"/>
                <w:kern w:val="0"/>
                <w:szCs w:val="21"/>
                <w:highlight w:val="none"/>
              </w:rPr>
              <w:t>月</w:t>
            </w:r>
            <w:r>
              <w:rPr>
                <w:rFonts w:hint="eastAsia" w:ascii="宋体" w:hAnsi="宋体" w:cs="微软雅黑"/>
                <w:color w:val="auto"/>
                <w:spacing w:val="-2"/>
                <w:kern w:val="0"/>
                <w:szCs w:val="21"/>
                <w:highlight w:val="none"/>
                <w:lang w:val="en-US" w:eastAsia="zh-CN"/>
              </w:rPr>
              <w:t xml:space="preserve"> </w:t>
            </w:r>
            <w:r>
              <w:rPr>
                <w:rFonts w:hint="eastAsia" w:ascii="宋体" w:hAnsi="宋体" w:cs="微软雅黑"/>
                <w:color w:val="auto"/>
                <w:spacing w:val="43"/>
                <w:kern w:val="0"/>
                <w:szCs w:val="21"/>
                <w:highlight w:val="none"/>
                <w:u w:val="single"/>
                <w:lang w:val="en-US" w:eastAsia="zh-CN"/>
              </w:rPr>
              <w:t xml:space="preserve"> 2 </w:t>
            </w:r>
            <w:r>
              <w:rPr>
                <w:rFonts w:hint="eastAsia" w:ascii="宋体" w:hAnsi="宋体" w:cs="微软雅黑"/>
                <w:color w:val="auto"/>
                <w:spacing w:val="-2"/>
                <w:kern w:val="0"/>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00   </w:t>
            </w:r>
            <w:r>
              <w:rPr>
                <w:rFonts w:hint="eastAsia" w:ascii="宋体" w:hAnsi="宋体"/>
                <w:color w:val="auto"/>
                <w:szCs w:val="21"/>
                <w:highlight w:val="none"/>
              </w:rPr>
              <w:t>分</w:t>
            </w:r>
            <w:r>
              <w:rPr>
                <w:rFonts w:hint="eastAsia" w:ascii="宋体" w:hAnsi="宋体" w:eastAsia="宋体"/>
                <w:color w:val="auto"/>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9590" w:type="dxa"/>
            <w:gridSpan w:val="3"/>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b/>
                <w:color w:val="auto"/>
                <w:szCs w:val="21"/>
                <w:highlight w:val="none"/>
              </w:rPr>
              <w:t>三、响应文件的编写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第二章第15.4款</w:t>
            </w:r>
          </w:p>
        </w:tc>
        <w:tc>
          <w:tcPr>
            <w:tcW w:w="2112" w:type="dxa"/>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采购项目预算</w:t>
            </w:r>
          </w:p>
        </w:tc>
        <w:tc>
          <w:tcPr>
            <w:tcW w:w="6156" w:type="dxa"/>
            <w:noWrap w:val="0"/>
            <w:vAlign w:val="center"/>
          </w:tcPr>
          <w:p>
            <w:pPr>
              <w:adjustRightInd w:val="0"/>
              <w:snapToGrid w:val="0"/>
              <w:spacing w:line="440" w:lineRule="exact"/>
              <w:rPr>
                <w:rFonts w:hint="eastAsia"/>
                <w:color w:val="auto"/>
                <w:highlight w:val="none"/>
                <w:lang w:eastAsia="zh-CN"/>
              </w:rPr>
            </w:pPr>
            <w:r>
              <w:rPr>
                <w:rFonts w:hint="eastAsia"/>
                <w:color w:val="auto"/>
                <w:highlight w:val="none"/>
              </w:rPr>
              <w:t>最高</w:t>
            </w:r>
            <w:r>
              <w:rPr>
                <w:rFonts w:hint="eastAsia"/>
                <w:color w:val="auto"/>
                <w:highlight w:val="none"/>
                <w:lang w:eastAsia="zh-CN"/>
              </w:rPr>
              <w:t>投标</w:t>
            </w:r>
            <w:r>
              <w:rPr>
                <w:rFonts w:hint="eastAsia"/>
                <w:color w:val="auto"/>
                <w:highlight w:val="none"/>
              </w:rPr>
              <w:t>限价</w:t>
            </w:r>
            <w:r>
              <w:rPr>
                <w:rFonts w:hint="eastAsia"/>
                <w:color w:val="auto"/>
                <w:highlight w:val="none"/>
                <w:lang w:eastAsia="zh-CN"/>
              </w:rPr>
              <w:t>：人民币壹拾伍万元整（¥</w:t>
            </w:r>
            <w:r>
              <w:rPr>
                <w:rFonts w:hint="eastAsia"/>
                <w:color w:val="auto"/>
                <w:highlight w:val="none"/>
                <w:lang w:val="en-US" w:eastAsia="zh-CN"/>
              </w:rPr>
              <w:t>160000</w:t>
            </w:r>
            <w:r>
              <w:rPr>
                <w:rFonts w:hint="eastAsia"/>
                <w:color w:val="auto"/>
                <w:highlight w:val="none"/>
                <w:lang w:eastAsia="zh-CN"/>
              </w:rPr>
              <w:t>.00）</w:t>
            </w:r>
          </w:p>
          <w:p>
            <w:pPr>
              <w:pStyle w:val="2"/>
              <w:spacing w:after="0" w:line="360" w:lineRule="auto"/>
              <w:ind w:firstLine="420" w:firstLineChars="200"/>
              <w:rPr>
                <w:rFonts w:hint="eastAsia"/>
                <w:color w:val="auto"/>
                <w:highlight w:val="none"/>
              </w:rPr>
            </w:pPr>
            <w:r>
              <w:rPr>
                <w:rFonts w:hint="eastAsia" w:ascii="Times New Roman" w:hAnsi="Times New Roman"/>
                <w:color w:val="auto"/>
                <w:sz w:val="21"/>
                <w:szCs w:val="24"/>
                <w:highlight w:val="none"/>
              </w:rPr>
              <w:t>投标报价不能高于招标人发布的</w:t>
            </w:r>
            <w:r>
              <w:rPr>
                <w:rFonts w:hint="eastAsia"/>
                <w:color w:val="auto"/>
                <w:highlight w:val="none"/>
              </w:rPr>
              <w:t>最高</w:t>
            </w:r>
            <w:r>
              <w:rPr>
                <w:rFonts w:hint="eastAsia"/>
                <w:color w:val="auto"/>
                <w:highlight w:val="none"/>
                <w:lang w:eastAsia="zh-CN"/>
              </w:rPr>
              <w:t>投标</w:t>
            </w:r>
            <w:r>
              <w:rPr>
                <w:rFonts w:hint="eastAsia"/>
                <w:color w:val="auto"/>
                <w:highlight w:val="none"/>
              </w:rPr>
              <w:t>限价</w:t>
            </w:r>
            <w:r>
              <w:rPr>
                <w:rFonts w:hint="eastAsia" w:ascii="Times New Roman" w:hAnsi="Times New Roman"/>
                <w:color w:val="auto"/>
                <w:sz w:val="21"/>
                <w:szCs w:val="24"/>
                <w:highlight w:val="none"/>
                <w:lang w:eastAsia="zh-CN"/>
              </w:rPr>
              <w:t>，</w:t>
            </w:r>
            <w:r>
              <w:rPr>
                <w:rFonts w:hint="eastAsia" w:ascii="Times New Roman" w:hAnsi="Times New Roman"/>
                <w:color w:val="auto"/>
                <w:sz w:val="21"/>
                <w:szCs w:val="24"/>
                <w:highlight w:val="none"/>
              </w:rPr>
              <w:t>超过限价的视为不合格投标人，作废标处理。</w:t>
            </w:r>
            <w:r>
              <w:rPr>
                <w:rFonts w:hint="eastAsia" w:ascii="Arial" w:hAnsi="Arial" w:cs="Arial"/>
                <w:b/>
                <w:color w:val="auto"/>
                <w:highlight w:val="none"/>
              </w:rPr>
              <w:t xml:space="preserve">《中华人民共和国财政部令第87号》第六十条 </w:t>
            </w:r>
            <w:r>
              <w:rPr>
                <w:rFonts w:ascii="Arial" w:hAnsi="Arial" w:cs="Arial"/>
                <w:b/>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71"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第二章第17.1款</w:t>
            </w:r>
          </w:p>
        </w:tc>
        <w:tc>
          <w:tcPr>
            <w:tcW w:w="2112" w:type="dxa"/>
            <w:noWrap w:val="0"/>
            <w:vAlign w:val="center"/>
          </w:tcPr>
          <w:p>
            <w:pPr>
              <w:adjustRightInd w:val="0"/>
              <w:snapToGrid w:val="0"/>
              <w:spacing w:line="440" w:lineRule="exact"/>
              <w:ind w:left="-533" w:leftChars="-254" w:firstLine="533" w:firstLineChars="254"/>
              <w:rPr>
                <w:rFonts w:hint="eastAsia" w:ascii="宋体" w:hAnsi="宋体" w:eastAsia="宋体"/>
                <w:color w:val="auto"/>
                <w:szCs w:val="21"/>
                <w:highlight w:val="none"/>
              </w:rPr>
            </w:pPr>
            <w:r>
              <w:rPr>
                <w:rFonts w:hint="eastAsia" w:ascii="宋体" w:hAnsi="宋体" w:eastAsia="宋体"/>
                <w:color w:val="auto"/>
                <w:szCs w:val="21"/>
                <w:highlight w:val="none"/>
              </w:rPr>
              <w:t>保证金</w:t>
            </w:r>
          </w:p>
        </w:tc>
        <w:tc>
          <w:tcPr>
            <w:tcW w:w="6156" w:type="dxa"/>
            <w:noWrap w:val="0"/>
            <w:vAlign w:val="center"/>
          </w:tcPr>
          <w:p>
            <w:pPr>
              <w:keepNext w:val="0"/>
              <w:keepLines w:val="0"/>
              <w:pageBreakBefore w:val="0"/>
              <w:kinsoku/>
              <w:wordWrap/>
              <w:overflowPunct/>
              <w:bidi w:val="0"/>
              <w:adjustRightInd w:val="0"/>
              <w:snapToGrid w:val="0"/>
              <w:spacing w:beforeLines="0" w:line="320" w:lineRule="exact"/>
              <w:ind w:left="0" w:right="0" w:rightChars="0"/>
              <w:jc w:val="left"/>
              <w:textAlignment w:val="auto"/>
              <w:rPr>
                <w:rFonts w:hint="eastAsia" w:hAnsi="宋体" w:eastAsia="宋体"/>
                <w:color w:val="auto"/>
                <w:highlight w:val="none"/>
              </w:rPr>
            </w:pPr>
            <w:r>
              <w:rPr>
                <w:rFonts w:hint="eastAsia" w:ascii="宋体" w:hAnsi="宋体"/>
                <w:color w:val="auto"/>
                <w:szCs w:val="21"/>
                <w:highlight w:val="none"/>
                <w:lang w:eastAsia="zh-CN"/>
              </w:rPr>
              <w:sym w:font="Wingdings 2" w:char="0052"/>
            </w:r>
            <w:r>
              <w:rPr>
                <w:rFonts w:ascii="宋体" w:hAnsi="宋体"/>
                <w:color w:val="auto"/>
                <w:szCs w:val="21"/>
                <w:highlight w:val="none"/>
              </w:rPr>
              <w:t xml:space="preserve"> </w:t>
            </w:r>
            <w:r>
              <w:rPr>
                <w:rFonts w:hint="eastAsia" w:hAnsi="宋体" w:eastAsia="宋体"/>
                <w:color w:val="auto"/>
                <w:highlight w:val="none"/>
              </w:rPr>
              <w:t>不要求提供</w:t>
            </w:r>
          </w:p>
          <w:p>
            <w:pPr>
              <w:adjustRightInd w:val="0"/>
              <w:snapToGrid w:val="0"/>
              <w:spacing w:before="0" w:beforeLines="0" w:line="320" w:lineRule="exact"/>
              <w:rPr>
                <w:rFonts w:hint="eastAsia" w:ascii="宋体" w:hAnsi="宋体" w:eastAsia="宋体" w:cs="宋体"/>
                <w:color w:val="auto"/>
                <w:highlight w:val="none"/>
              </w:rPr>
            </w:pPr>
            <w:r>
              <w:rPr>
                <w:rFonts w:hint="eastAsia" w:ascii="宋体" w:hAnsi="宋体" w:cs="宋体"/>
                <w:color w:val="auto"/>
                <w:highlight w:val="none"/>
                <w:lang w:eastAsia="zh-CN"/>
              </w:rPr>
              <w:t>□</w:t>
            </w:r>
            <w:r>
              <w:rPr>
                <w:rFonts w:hint="eastAsia" w:ascii="宋体" w:hAnsi="宋体" w:eastAsia="宋体" w:cs="宋体"/>
                <w:color w:val="auto"/>
                <w:highlight w:val="none"/>
              </w:rPr>
              <w:t xml:space="preserve"> 要求提供</w:t>
            </w:r>
          </w:p>
          <w:p>
            <w:pPr>
              <w:spacing w:line="400" w:lineRule="exact"/>
              <w:rPr>
                <w:rFonts w:hint="eastAsia" w:ascii="宋体" w:hAnsi="宋体" w:cs="宋体"/>
                <w:bCs/>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要求提供，承诺，具体格式详见“第五章 响应文件组成 四、保证金”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第二章第18.1款</w:t>
            </w:r>
          </w:p>
        </w:tc>
        <w:tc>
          <w:tcPr>
            <w:tcW w:w="2112" w:type="dxa"/>
            <w:noWrap w:val="0"/>
            <w:vAlign w:val="center"/>
          </w:tcPr>
          <w:p>
            <w:pPr>
              <w:adjustRightInd w:val="0"/>
              <w:snapToGrid w:val="0"/>
              <w:spacing w:line="44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响应文件有效期</w:t>
            </w:r>
          </w:p>
        </w:tc>
        <w:tc>
          <w:tcPr>
            <w:tcW w:w="6156" w:type="dxa"/>
            <w:noWrap w:val="0"/>
            <w:vAlign w:val="center"/>
          </w:tcPr>
          <w:p>
            <w:pPr>
              <w:adjustRightInd w:val="0"/>
              <w:snapToGrid w:val="0"/>
              <w:spacing w:line="440" w:lineRule="exact"/>
              <w:rPr>
                <w:rFonts w:hint="eastAsia" w:ascii="宋体" w:hAnsi="宋体" w:eastAsia="宋体"/>
                <w:bCs/>
                <w:color w:val="auto"/>
                <w:szCs w:val="21"/>
                <w:highlight w:val="none"/>
              </w:rPr>
            </w:pPr>
            <w:r>
              <w:rPr>
                <w:rFonts w:hint="eastAsia" w:ascii="宋体" w:hAnsi="宋体" w:eastAsia="宋体"/>
                <w:color w:val="auto"/>
                <w:szCs w:val="21"/>
                <w:highlight w:val="none"/>
                <w:u w:val="single"/>
              </w:rPr>
              <w:t xml:space="preserve"> 90 </w:t>
            </w:r>
            <w:r>
              <w:rPr>
                <w:rFonts w:hint="eastAsia" w:ascii="宋体" w:hAnsi="宋体" w:eastAsia="宋体"/>
                <w:color w:val="auto"/>
                <w:szCs w:val="21"/>
                <w:highlight w:val="none"/>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22" w:type="dxa"/>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第二章第19.1款</w:t>
            </w:r>
          </w:p>
        </w:tc>
        <w:tc>
          <w:tcPr>
            <w:tcW w:w="2112" w:type="dxa"/>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bCs/>
                <w:color w:val="auto"/>
                <w:szCs w:val="21"/>
                <w:highlight w:val="none"/>
              </w:rPr>
              <w:t>响应</w:t>
            </w:r>
            <w:r>
              <w:rPr>
                <w:rFonts w:hint="eastAsia" w:ascii="宋体" w:hAnsi="宋体" w:eastAsia="宋体"/>
                <w:color w:val="auto"/>
                <w:szCs w:val="21"/>
                <w:highlight w:val="none"/>
              </w:rPr>
              <w:t>文件副本份数</w:t>
            </w:r>
          </w:p>
        </w:tc>
        <w:tc>
          <w:tcPr>
            <w:tcW w:w="6156" w:type="dxa"/>
            <w:noWrap w:val="0"/>
            <w:vAlign w:val="center"/>
          </w:tcPr>
          <w:p>
            <w:pPr>
              <w:adjustRightInd w:val="0"/>
              <w:snapToGrid w:val="0"/>
              <w:spacing w:before="0" w:beforeLines="0" w:line="320" w:lineRule="exact"/>
              <w:rPr>
                <w:rFonts w:hint="eastAsia"/>
                <w:color w:val="auto"/>
                <w:highlight w:val="none"/>
              </w:rPr>
            </w:pPr>
            <w:r>
              <w:rPr>
                <w:rFonts w:hint="eastAsia"/>
                <w:color w:val="auto"/>
                <w:highlight w:val="none"/>
              </w:rPr>
              <w:t>1.纸质版</w:t>
            </w:r>
            <w:r>
              <w:rPr>
                <w:rFonts w:hint="eastAsia"/>
                <w:color w:val="auto"/>
                <w:highlight w:val="none"/>
                <w:lang w:eastAsia="zh-CN"/>
              </w:rPr>
              <w:t>肆</w:t>
            </w:r>
            <w:r>
              <w:rPr>
                <w:rFonts w:hint="eastAsia"/>
                <w:color w:val="auto"/>
                <w:highlight w:val="none"/>
              </w:rPr>
              <w:t>份：正本</w:t>
            </w:r>
            <w:r>
              <w:rPr>
                <w:rFonts w:hint="eastAsia"/>
                <w:color w:val="auto"/>
                <w:highlight w:val="none"/>
                <w:lang w:eastAsia="zh-CN"/>
              </w:rPr>
              <w:t>壹</w:t>
            </w:r>
            <w:r>
              <w:rPr>
                <w:rFonts w:hint="eastAsia"/>
                <w:color w:val="auto"/>
                <w:highlight w:val="none"/>
              </w:rPr>
              <w:t>份，副本</w:t>
            </w:r>
            <w:r>
              <w:rPr>
                <w:rFonts w:hint="eastAsia"/>
                <w:color w:val="auto"/>
                <w:highlight w:val="none"/>
                <w:lang w:eastAsia="zh-CN"/>
              </w:rPr>
              <w:t>叁</w:t>
            </w:r>
            <w:r>
              <w:rPr>
                <w:rFonts w:hint="eastAsia"/>
                <w:color w:val="auto"/>
                <w:highlight w:val="none"/>
              </w:rPr>
              <w:t>份</w:t>
            </w:r>
          </w:p>
          <w:p>
            <w:pPr>
              <w:adjustRightInd w:val="0"/>
              <w:snapToGrid w:val="0"/>
              <w:spacing w:before="0" w:beforeLines="0" w:line="320" w:lineRule="exact"/>
              <w:rPr>
                <w:rFonts w:hint="eastAsia"/>
                <w:color w:val="auto"/>
                <w:highlight w:val="none"/>
              </w:rPr>
            </w:pPr>
            <w:r>
              <w:rPr>
                <w:rFonts w:hint="eastAsia"/>
                <w:color w:val="auto"/>
                <w:highlight w:val="none"/>
              </w:rPr>
              <w:t>2.电子档U盘</w:t>
            </w:r>
            <w:r>
              <w:rPr>
                <w:rFonts w:hint="eastAsia"/>
                <w:color w:val="auto"/>
                <w:highlight w:val="none"/>
                <w:lang w:eastAsia="zh-CN"/>
              </w:rPr>
              <w:t>壹</w:t>
            </w:r>
            <w:r>
              <w:rPr>
                <w:rFonts w:hint="eastAsia"/>
                <w:color w:val="auto"/>
                <w:highlight w:val="none"/>
              </w:rPr>
              <w:t>份</w:t>
            </w:r>
          </w:p>
          <w:p>
            <w:pPr>
              <w:spacing w:line="440" w:lineRule="exact"/>
              <w:rPr>
                <w:rFonts w:hint="eastAsia"/>
                <w:color w:val="auto"/>
                <w:highlight w:val="none"/>
              </w:rPr>
            </w:pPr>
            <w:r>
              <w:rPr>
                <w:rFonts w:hint="eastAsia"/>
                <w:color w:val="auto"/>
                <w:highlight w:val="none"/>
              </w:rPr>
              <w:t>采用胶装方式装订，装订应牢固、不易拆散和换页，不得采用活页装订。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9590" w:type="dxa"/>
            <w:gridSpan w:val="3"/>
            <w:noWrap w:val="0"/>
            <w:vAlign w:val="center"/>
          </w:tcPr>
          <w:p>
            <w:pPr>
              <w:adjustRightInd w:val="0"/>
              <w:snapToGrid w:val="0"/>
              <w:spacing w:line="440" w:lineRule="exact"/>
              <w:rPr>
                <w:rFonts w:hint="eastAsia" w:ascii="宋体" w:hAnsi="宋体" w:eastAsia="宋体"/>
                <w:b/>
                <w:bCs/>
                <w:color w:val="auto"/>
                <w:szCs w:val="21"/>
                <w:highlight w:val="none"/>
              </w:rPr>
            </w:pPr>
            <w:r>
              <w:rPr>
                <w:rFonts w:hint="eastAsia" w:ascii="宋体" w:hAnsi="宋体" w:eastAsia="宋体"/>
                <w:b/>
                <w:color w:val="auto"/>
                <w:szCs w:val="21"/>
                <w:highlight w:val="none"/>
              </w:rPr>
              <w:t>四、响应文件的递交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1322" w:type="dxa"/>
            <w:vMerge w:val="restart"/>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第二章第22.1款</w:t>
            </w:r>
          </w:p>
        </w:tc>
        <w:tc>
          <w:tcPr>
            <w:tcW w:w="2112" w:type="dxa"/>
            <w:tcBorders>
              <w:bottom w:val="single" w:color="auto" w:sz="4" w:space="0"/>
            </w:tcBorders>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color w:val="auto"/>
                <w:szCs w:val="21"/>
                <w:highlight w:val="none"/>
              </w:rPr>
              <w:t>响应文件的递交</w:t>
            </w:r>
            <w:r>
              <w:rPr>
                <w:rFonts w:hint="eastAsia" w:ascii="宋体" w:hAnsi="宋体"/>
                <w:color w:val="auto"/>
                <w:szCs w:val="21"/>
                <w:highlight w:val="none"/>
                <w:lang w:eastAsia="zh-CN"/>
              </w:rPr>
              <w:t>时间和</w:t>
            </w:r>
            <w:r>
              <w:rPr>
                <w:rFonts w:hint="eastAsia" w:ascii="宋体" w:hAnsi="宋体" w:eastAsia="宋体"/>
                <w:color w:val="auto"/>
                <w:szCs w:val="21"/>
                <w:highlight w:val="none"/>
              </w:rPr>
              <w:t>地点</w:t>
            </w:r>
          </w:p>
        </w:tc>
        <w:tc>
          <w:tcPr>
            <w:tcW w:w="6156" w:type="dxa"/>
            <w:tcBorders>
              <w:bottom w:val="single" w:color="auto" w:sz="4" w:space="0"/>
            </w:tcBorders>
            <w:noWrap w:val="0"/>
            <w:vAlign w:val="center"/>
          </w:tcPr>
          <w:p>
            <w:pPr>
              <w:adjustRightInd/>
              <w:snapToGrid/>
              <w:spacing w:before="0" w:beforeLines="0" w:line="320" w:lineRule="exact"/>
              <w:ind w:firstLine="0" w:firstLineChars="0"/>
              <w:jc w:val="left"/>
              <w:rPr>
                <w:rFonts w:ascii="宋体" w:hAnsi="宋体"/>
                <w:color w:val="auto"/>
                <w:szCs w:val="21"/>
                <w:highlight w:val="none"/>
              </w:rPr>
            </w:pPr>
            <w:r>
              <w:rPr>
                <w:rFonts w:hint="eastAsia" w:ascii="宋体" w:hAnsi="宋体"/>
                <w:color w:val="auto"/>
                <w:szCs w:val="21"/>
                <w:highlight w:val="none"/>
                <w:u w:val="none"/>
              </w:rPr>
              <w:t>时间：</w:t>
            </w:r>
            <w:r>
              <w:rPr>
                <w:rFonts w:hint="eastAsia" w:ascii="宋体" w:hAnsi="宋体" w:cs="微软雅黑"/>
                <w:color w:val="auto"/>
                <w:kern w:val="0"/>
                <w:szCs w:val="21"/>
                <w:highlight w:val="none"/>
                <w:u w:val="single"/>
                <w:lang w:eastAsia="zh-CN"/>
              </w:rPr>
              <w:t xml:space="preserve"> 202</w:t>
            </w:r>
            <w:r>
              <w:rPr>
                <w:rFonts w:hint="eastAsia" w:ascii="宋体" w:hAnsi="宋体" w:cs="微软雅黑"/>
                <w:color w:val="auto"/>
                <w:kern w:val="0"/>
                <w:szCs w:val="21"/>
                <w:highlight w:val="none"/>
                <w:u w:val="single"/>
                <w:lang w:val="en-US" w:eastAsia="zh-CN"/>
              </w:rPr>
              <w:t>3</w:t>
            </w:r>
            <w:r>
              <w:rPr>
                <w:rFonts w:hint="eastAsia" w:ascii="宋体" w:hAnsi="宋体" w:cs="微软雅黑"/>
                <w:color w:val="auto"/>
                <w:kern w:val="0"/>
                <w:szCs w:val="21"/>
                <w:highlight w:val="none"/>
                <w:u w:val="single"/>
                <w:lang w:eastAsia="zh-CN"/>
              </w:rPr>
              <w:t xml:space="preserve"> 年</w:t>
            </w:r>
            <w:r>
              <w:rPr>
                <w:rFonts w:hint="eastAsia" w:ascii="宋体" w:hAnsi="宋体" w:cs="微软雅黑"/>
                <w:color w:val="auto"/>
                <w:kern w:val="0"/>
                <w:szCs w:val="21"/>
                <w:highlight w:val="none"/>
                <w:u w:val="single"/>
                <w:lang w:val="en-US" w:eastAsia="zh-CN"/>
              </w:rPr>
              <w:t xml:space="preserve">11 </w:t>
            </w:r>
            <w:r>
              <w:rPr>
                <w:rFonts w:hint="eastAsia" w:ascii="宋体" w:hAnsi="宋体" w:cs="微软雅黑"/>
                <w:color w:val="auto"/>
                <w:spacing w:val="-2"/>
                <w:kern w:val="0"/>
                <w:szCs w:val="21"/>
                <w:highlight w:val="none"/>
              </w:rPr>
              <w:t>月</w:t>
            </w:r>
            <w:r>
              <w:rPr>
                <w:rFonts w:hint="eastAsia" w:ascii="宋体" w:hAnsi="宋体" w:cs="微软雅黑"/>
                <w:color w:val="auto"/>
                <w:spacing w:val="-2"/>
                <w:kern w:val="0"/>
                <w:szCs w:val="21"/>
                <w:highlight w:val="none"/>
                <w:lang w:val="en-US" w:eastAsia="zh-CN"/>
              </w:rPr>
              <w:t xml:space="preserve"> </w:t>
            </w:r>
            <w:r>
              <w:rPr>
                <w:rFonts w:hint="eastAsia" w:ascii="宋体" w:hAnsi="宋体" w:cs="微软雅黑"/>
                <w:color w:val="auto"/>
                <w:spacing w:val="43"/>
                <w:kern w:val="0"/>
                <w:szCs w:val="21"/>
                <w:highlight w:val="none"/>
                <w:u w:val="single"/>
                <w:lang w:val="en-US" w:eastAsia="zh-CN"/>
              </w:rPr>
              <w:t xml:space="preserve"> 2 </w:t>
            </w:r>
            <w:r>
              <w:rPr>
                <w:rFonts w:hint="eastAsia" w:ascii="宋体" w:hAnsi="宋体" w:cs="微软雅黑"/>
                <w:color w:val="auto"/>
                <w:spacing w:val="-2"/>
                <w:kern w:val="0"/>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00  </w:t>
            </w:r>
            <w:r>
              <w:rPr>
                <w:rFonts w:hint="eastAsia" w:ascii="宋体" w:hAnsi="宋体"/>
                <w:color w:val="auto"/>
                <w:szCs w:val="21"/>
                <w:highlight w:val="none"/>
              </w:rPr>
              <w:t>分</w:t>
            </w:r>
            <w:r>
              <w:rPr>
                <w:rFonts w:hint="eastAsia" w:ascii="宋体" w:hAnsi="宋体" w:eastAsia="宋体"/>
                <w:color w:val="auto"/>
                <w:highlight w:val="none"/>
              </w:rPr>
              <w:t>(</w:t>
            </w:r>
            <w:r>
              <w:rPr>
                <w:rFonts w:hint="eastAsia" w:ascii="宋体" w:hAnsi="宋体"/>
                <w:color w:val="auto"/>
                <w:szCs w:val="21"/>
                <w:highlight w:val="none"/>
                <w:lang w:eastAsia="zh-CN"/>
              </w:rPr>
              <w:t>（</w:t>
            </w:r>
            <w:r>
              <w:rPr>
                <w:rFonts w:hint="eastAsia" w:ascii="宋体" w:hAnsi="宋体"/>
                <w:color w:val="auto"/>
                <w:szCs w:val="21"/>
                <w:highlight w:val="none"/>
              </w:rPr>
              <w:t>北京时间</w:t>
            </w:r>
            <w:r>
              <w:rPr>
                <w:rFonts w:ascii="宋体" w:hAnsi="宋体"/>
                <w:color w:val="auto"/>
                <w:szCs w:val="21"/>
                <w:highlight w:val="none"/>
              </w:rPr>
              <w:t>)</w:t>
            </w:r>
          </w:p>
          <w:p>
            <w:pPr>
              <w:widowControl/>
              <w:pBdr>
                <w:top w:val="none" w:color="auto" w:sz="0" w:space="0"/>
                <w:left w:val="none" w:color="auto" w:sz="0" w:space="0"/>
                <w:bottom w:val="none" w:color="auto" w:sz="0" w:space="0"/>
                <w:right w:val="none" w:color="auto" w:sz="0" w:space="0"/>
              </w:pBdr>
              <w:adjustRightInd/>
              <w:snapToGrid/>
              <w:spacing w:line="400" w:lineRule="exact"/>
              <w:ind w:firstLine="0" w:firstLineChars="0"/>
              <w:jc w:val="left"/>
              <w:rPr>
                <w:rFonts w:hint="default"/>
                <w:color w:val="auto"/>
                <w:highlight w:val="none"/>
                <w:lang w:val="en-US"/>
              </w:rPr>
            </w:pPr>
            <w:r>
              <w:rPr>
                <w:rFonts w:hint="eastAsia" w:ascii="宋体" w:hAnsi="宋体"/>
                <w:color w:val="auto"/>
                <w:szCs w:val="21"/>
                <w:highlight w:val="none"/>
              </w:rPr>
              <w:t>地点：</w:t>
            </w:r>
            <w:r>
              <w:rPr>
                <w:rFonts w:hint="eastAsia" w:ascii="宋体" w:hAnsi="宋体" w:eastAsia="宋体" w:cs="宋体"/>
                <w:kern w:val="0"/>
                <w:szCs w:val="21"/>
              </w:rPr>
              <w:t>永州市江华瑶族自治县沱江镇瑶都大道</w:t>
            </w:r>
            <w:r>
              <w:rPr>
                <w:rFonts w:hint="eastAsia" w:ascii="宋体" w:hAnsi="宋体"/>
                <w:color w:val="auto"/>
                <w:highlight w:val="none"/>
                <w:lang w:eastAsia="zh-CN"/>
              </w:rPr>
              <w:t>永州涔天河灌区工程建设有限责任公司</w:t>
            </w:r>
            <w:r>
              <w:rPr>
                <w:rFonts w:hint="eastAsia" w:ascii="宋体" w:hAnsi="宋体" w:cs="宋体"/>
                <w:color w:val="auto"/>
                <w:kern w:val="0"/>
                <w:sz w:val="21"/>
                <w:szCs w:val="21"/>
                <w:highlight w:val="none"/>
                <w:shd w:val="clear" w:fill="FFFFFF"/>
                <w:lang w:val="en-US" w:eastAsia="zh-CN" w:bidi="ar"/>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1322" w:type="dxa"/>
            <w:vMerge w:val="continue"/>
            <w:noWrap w:val="0"/>
            <w:vAlign w:val="center"/>
          </w:tcPr>
          <w:p>
            <w:pPr>
              <w:adjustRightInd w:val="0"/>
              <w:snapToGrid w:val="0"/>
              <w:spacing w:line="440" w:lineRule="exact"/>
              <w:jc w:val="center"/>
              <w:rPr>
                <w:rFonts w:hint="eastAsia" w:ascii="宋体" w:hAnsi="宋体" w:eastAsia="宋体"/>
                <w:color w:val="auto"/>
                <w:szCs w:val="21"/>
                <w:highlight w:val="none"/>
              </w:rPr>
            </w:pPr>
          </w:p>
        </w:tc>
        <w:tc>
          <w:tcPr>
            <w:tcW w:w="2112" w:type="dxa"/>
            <w:tcBorders>
              <w:top w:val="single" w:color="auto" w:sz="4" w:space="0"/>
            </w:tcBorders>
            <w:noWrap w:val="0"/>
            <w:vAlign w:val="center"/>
          </w:tcPr>
          <w:p>
            <w:pPr>
              <w:adjustRightInd w:val="0"/>
              <w:snapToGrid w:val="0"/>
              <w:spacing w:line="440" w:lineRule="exact"/>
              <w:ind w:firstLine="420" w:firstLineChars="200"/>
              <w:rPr>
                <w:rFonts w:hint="eastAsia" w:ascii="宋体" w:hAnsi="宋体" w:eastAsia="宋体"/>
                <w:color w:val="auto"/>
                <w:szCs w:val="21"/>
                <w:highlight w:val="none"/>
              </w:rPr>
            </w:pPr>
          </w:p>
        </w:tc>
        <w:tc>
          <w:tcPr>
            <w:tcW w:w="6156" w:type="dxa"/>
            <w:tcBorders>
              <w:top w:val="single" w:color="auto" w:sz="4" w:space="0"/>
            </w:tcBorders>
            <w:noWrap w:val="0"/>
            <w:vAlign w:val="center"/>
          </w:tcPr>
          <w:p>
            <w:pPr>
              <w:spacing w:line="440" w:lineRule="exact"/>
              <w:rPr>
                <w:rFonts w:hint="eastAsia" w:ascii="宋体" w:hAnsi="宋体" w:eastAsia="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9590" w:type="dxa"/>
            <w:gridSpan w:val="3"/>
            <w:noWrap w:val="0"/>
            <w:vAlign w:val="center"/>
          </w:tcPr>
          <w:p>
            <w:pPr>
              <w:adjustRightInd w:val="0"/>
              <w:snapToGrid w:val="0"/>
              <w:spacing w:line="440" w:lineRule="exact"/>
              <w:rPr>
                <w:rFonts w:hint="eastAsia" w:ascii="宋体" w:hAnsi="宋体" w:eastAsia="宋体"/>
                <w:color w:val="auto"/>
                <w:szCs w:val="21"/>
                <w:highlight w:val="none"/>
              </w:rPr>
            </w:pPr>
            <w:r>
              <w:rPr>
                <w:rFonts w:hint="eastAsia" w:ascii="宋体" w:hAnsi="宋体" w:eastAsia="宋体"/>
                <w:b/>
                <w:color w:val="auto"/>
                <w:szCs w:val="21"/>
                <w:highlight w:val="none"/>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322" w:type="dxa"/>
            <w:noWrap w:val="0"/>
            <w:vAlign w:val="center"/>
          </w:tcPr>
          <w:p>
            <w:pPr>
              <w:keepNext w:val="0"/>
              <w:keepLines w:val="0"/>
              <w:pageBreakBefore w:val="0"/>
              <w:kinsoku/>
              <w:wordWrap/>
              <w:overflowPunct/>
              <w:bidi w:val="0"/>
              <w:adjustRightInd w:val="0"/>
              <w:snapToGrid w:val="0"/>
              <w:spacing w:line="360"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第二章第34.1款、</w:t>
            </w:r>
          </w:p>
        </w:tc>
        <w:tc>
          <w:tcPr>
            <w:tcW w:w="2112" w:type="dxa"/>
            <w:noWrap w:val="0"/>
            <w:vAlign w:val="center"/>
          </w:tcPr>
          <w:p>
            <w:pPr>
              <w:keepNext w:val="0"/>
              <w:keepLines w:val="0"/>
              <w:pageBreakBefore w:val="0"/>
              <w:kinsoku/>
              <w:wordWrap/>
              <w:overflowPunct/>
              <w:bidi w:val="0"/>
              <w:adjustRightInd w:val="0"/>
              <w:snapToGrid w:val="0"/>
              <w:spacing w:line="360" w:lineRule="auto"/>
              <w:ind w:left="0" w:leftChars="0" w:right="0" w:rightChars="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eastAsia="zh-CN"/>
              </w:rPr>
              <w:t>公示</w:t>
            </w:r>
            <w:r>
              <w:rPr>
                <w:rFonts w:hint="eastAsia" w:ascii="宋体" w:hAnsi="宋体" w:eastAsia="宋体"/>
                <w:color w:val="auto"/>
                <w:szCs w:val="21"/>
                <w:highlight w:val="none"/>
              </w:rPr>
              <w:t>媒体</w:t>
            </w:r>
          </w:p>
        </w:tc>
        <w:tc>
          <w:tcPr>
            <w:tcW w:w="6156" w:type="dxa"/>
            <w:noWrap w:val="0"/>
            <w:vAlign w:val="center"/>
          </w:tcPr>
          <w:p>
            <w:pPr>
              <w:pStyle w:val="66"/>
              <w:keepNext w:val="0"/>
              <w:keepLines w:val="0"/>
              <w:pageBreakBefore w:val="0"/>
              <w:kinsoku/>
              <w:wordWrap/>
              <w:overflowPunct/>
              <w:bidi w:val="0"/>
              <w:adjustRightInd w:val="0"/>
              <w:snapToGrid w:val="0"/>
              <w:spacing w:line="360" w:lineRule="auto"/>
              <w:ind w:left="0" w:leftChars="0" w:right="0" w:rightChars="0" w:firstLine="0" w:firstLineChars="0"/>
              <w:jc w:val="left"/>
              <w:textAlignment w:val="auto"/>
              <w:rPr>
                <w:rFonts w:hint="eastAsia" w:ascii="宋体" w:hAnsi="宋体" w:eastAsia="仿宋_GB2312"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湖南省潇水涔天河水库扩建工程官方网</w:t>
            </w:r>
            <w:r>
              <w:rPr>
                <w:rFonts w:hint="eastAsia" w:ascii="宋体" w:hAnsi="宋体" w:eastAsia="仿宋_GB2312" w:cs="Times New Roman"/>
                <w:color w:val="auto"/>
                <w:kern w:val="2"/>
                <w:sz w:val="21"/>
                <w:szCs w:val="21"/>
                <w:highlight w:val="none"/>
                <w:u w:val="single"/>
                <w:lang w:val="en-US" w:eastAsia="zh-CN" w:bidi="ar-SA"/>
              </w:rPr>
              <w:t>http://www.hncth.com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22" w:type="dxa"/>
            <w:noWrap w:val="0"/>
            <w:vAlign w:val="center"/>
          </w:tcPr>
          <w:p>
            <w:pPr>
              <w:adjustRightInd w:val="0"/>
              <w:snapToGrid w:val="0"/>
              <w:spacing w:line="44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第二章第36.3款</w:t>
            </w:r>
          </w:p>
        </w:tc>
        <w:tc>
          <w:tcPr>
            <w:tcW w:w="2112" w:type="dxa"/>
            <w:noWrap w:val="0"/>
            <w:vAlign w:val="center"/>
          </w:tcPr>
          <w:p>
            <w:pPr>
              <w:adjustRightInd w:val="0"/>
              <w:snapToGrid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履约担保</w:t>
            </w:r>
          </w:p>
        </w:tc>
        <w:tc>
          <w:tcPr>
            <w:tcW w:w="6156" w:type="dxa"/>
            <w:noWrap w:val="0"/>
            <w:vAlign w:val="center"/>
          </w:tcPr>
          <w:p>
            <w:pPr>
              <w:spacing w:line="440" w:lineRule="exact"/>
              <w:rPr>
                <w:rFonts w:hint="eastAsia" w:ascii="宋体" w:hAnsi="宋体" w:eastAsia="宋体"/>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w:instrText>
            </w:r>
            <w:r>
              <w:rPr>
                <w:rFonts w:hint="eastAsia" w:ascii="宋体" w:hAnsi="宋体" w:eastAsia="宋体"/>
                <w:color w:val="auto"/>
                <w:highlight w:val="none"/>
              </w:rPr>
              <w:instrText xml:space="preserve">eq \o\ac(□,√)</w:instrText>
            </w:r>
            <w:r>
              <w:rPr>
                <w:rFonts w:ascii="宋体" w:hAnsi="宋体" w:eastAsia="宋体"/>
                <w:color w:val="auto"/>
                <w:highlight w:val="none"/>
              </w:rPr>
              <w:fldChar w:fldCharType="end"/>
            </w:r>
            <w:r>
              <w:rPr>
                <w:rFonts w:hint="eastAsia" w:ascii="宋体" w:hAnsi="宋体" w:eastAsia="宋体"/>
                <w:color w:val="auto"/>
                <w:highlight w:val="none"/>
              </w:rPr>
              <w:t>不要求提供</w:t>
            </w:r>
          </w:p>
          <w:p>
            <w:pPr>
              <w:adjustRightInd w:val="0"/>
              <w:snapToGrid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highlight w:val="none"/>
              </w:rPr>
              <w:t>□要求提供，履约担保的金额为</w:t>
            </w:r>
            <w:r>
              <w:rPr>
                <w:rFonts w:hint="eastAsia" w:ascii="宋体" w:hAnsi="宋体" w:eastAsia="宋体"/>
                <w:b/>
                <w:color w:val="auto"/>
                <w:highlight w:val="none"/>
              </w:rPr>
              <w:t xml:space="preserve"> </w:t>
            </w:r>
            <w:r>
              <w:rPr>
                <w:rFonts w:hint="eastAsia" w:ascii="宋体" w:hAnsi="宋体" w:eastAsia="宋体"/>
                <w:b/>
                <w:color w:val="auto"/>
                <w:highlight w:val="none"/>
                <w:u w:val="single"/>
              </w:rPr>
              <w:t xml:space="preserve">           </w:t>
            </w:r>
            <w:r>
              <w:rPr>
                <w:rFonts w:hint="eastAsia" w:ascii="宋体" w:hAnsi="宋体" w:eastAsia="宋体"/>
                <w:b/>
                <w:color w:val="auto"/>
                <w:highlight w:val="none"/>
              </w:rPr>
              <w:t xml:space="preserve"> </w:t>
            </w:r>
            <w:r>
              <w:rPr>
                <w:rFonts w:hint="eastAsia" w:ascii="宋体" w:hAnsi="宋体" w:eastAsia="宋体"/>
                <w:color w:val="auto"/>
                <w:highlight w:val="none"/>
              </w:rPr>
              <w:t>，要求在签订合同前向采购方一次性缴纳。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9590" w:type="dxa"/>
            <w:gridSpan w:val="3"/>
            <w:noWrap w:val="0"/>
            <w:vAlign w:val="center"/>
          </w:tcPr>
          <w:p>
            <w:pPr>
              <w:adjustRightInd w:val="0"/>
              <w:snapToGrid w:val="0"/>
              <w:spacing w:line="440" w:lineRule="exact"/>
              <w:rPr>
                <w:rFonts w:hint="eastAsia" w:ascii="宋体" w:hAnsi="宋体" w:eastAsia="宋体"/>
                <w:b/>
                <w:color w:val="auto"/>
                <w:szCs w:val="21"/>
                <w:highlight w:val="none"/>
              </w:rPr>
            </w:pPr>
            <w:r>
              <w:rPr>
                <w:rFonts w:hint="eastAsia" w:ascii="宋体" w:hAnsi="宋体" w:eastAsia="宋体"/>
                <w:b/>
                <w:color w:val="auto"/>
                <w:szCs w:val="21"/>
                <w:highlight w:val="none"/>
              </w:rPr>
              <w:t>七、其他规定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322" w:type="dxa"/>
            <w:tcBorders>
              <w:left w:val="single" w:color="auto" w:sz="4" w:space="0"/>
            </w:tcBorders>
            <w:noWrap w:val="0"/>
            <w:vAlign w:val="center"/>
          </w:tcPr>
          <w:p>
            <w:pPr>
              <w:adjustRightInd w:val="0"/>
              <w:snapToGrid w:val="0"/>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第二章第39.1款</w:t>
            </w:r>
          </w:p>
        </w:tc>
        <w:tc>
          <w:tcPr>
            <w:tcW w:w="2112" w:type="dxa"/>
            <w:noWrap w:val="0"/>
            <w:vAlign w:val="center"/>
          </w:tcPr>
          <w:p>
            <w:pPr>
              <w:adjustRightInd w:val="0"/>
              <w:snapToGrid w:val="0"/>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其他规定</w:t>
            </w:r>
          </w:p>
        </w:tc>
        <w:tc>
          <w:tcPr>
            <w:tcW w:w="615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s="Times New Roman"/>
                <w:color w:val="auto"/>
                <w:highlight w:val="none"/>
                <w:lang w:eastAsia="zh-CN"/>
              </w:rPr>
            </w:pPr>
            <w:r>
              <w:rPr>
                <w:rFonts w:hint="eastAsia" w:ascii="宋体" w:hAnsi="宋体" w:eastAsia="宋体" w:cs="宋体"/>
                <w:b w:val="0"/>
                <w:bCs w:val="0"/>
                <w:color w:val="auto"/>
                <w:kern w:val="2"/>
                <w:sz w:val="21"/>
                <w:szCs w:val="21"/>
                <w:highlight w:val="none"/>
                <w:lang w:val="en-US" w:eastAsia="zh-CN" w:bidi="ar"/>
              </w:rPr>
              <w:t>合同履行</w:t>
            </w:r>
            <w:r>
              <w:rPr>
                <w:rFonts w:hint="eastAsia" w:ascii="Times New Roman" w:hAnsi="Times New Roman" w:cs="Times New Roman"/>
                <w:color w:val="auto"/>
                <w:highlight w:val="none"/>
                <w:lang w:val="en-US" w:eastAsia="zh-CN"/>
              </w:rPr>
              <w:t>服务期限</w:t>
            </w:r>
            <w:r>
              <w:rPr>
                <w:rFonts w:hint="eastAsia" w:cs="Times New Roman"/>
                <w:color w:val="auto"/>
                <w:highlight w:val="none"/>
                <w:lang w:val="en-US" w:eastAsia="zh-CN"/>
              </w:rPr>
              <w:t>：</w:t>
            </w:r>
            <w:r>
              <w:rPr>
                <w:rFonts w:hint="eastAsia" w:ascii="Times New Roman" w:hAnsi="Times New Roman" w:cs="Times New Roman"/>
                <w:color w:val="auto"/>
                <w:highlight w:val="none"/>
              </w:rPr>
              <w:t>一年</w:t>
            </w:r>
            <w:r>
              <w:rPr>
                <w:rFonts w:hint="eastAsia"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服务地点：采购人指定的地点。</w:t>
            </w:r>
          </w:p>
          <w:p>
            <w:pPr>
              <w:spacing w:line="440" w:lineRule="exact"/>
              <w:rPr>
                <w:rFonts w:hint="eastAsia" w:ascii="宋体" w:hAnsi="宋体" w:eastAsia="宋体"/>
                <w:color w:val="auto"/>
                <w:highlight w:val="none"/>
              </w:rPr>
            </w:pPr>
            <w:r>
              <w:rPr>
                <w:rFonts w:hint="eastAsia" w:ascii="Times New Roman" w:hAnsi="Times New Roman" w:cs="Times New Roman"/>
                <w:color w:val="auto"/>
                <w:highlight w:val="none"/>
              </w:rPr>
              <w:t>付款方式：</w:t>
            </w:r>
            <w:r>
              <w:rPr>
                <w:rFonts w:hint="eastAsia" w:ascii="Times New Roman" w:hAnsi="Times New Roman" w:cs="Times New Roman"/>
                <w:color w:val="auto"/>
                <w:highlight w:val="none"/>
                <w:lang w:val="en-US" w:eastAsia="zh-CN"/>
              </w:rPr>
              <w:t>签</w:t>
            </w:r>
            <w:r>
              <w:rPr>
                <w:rFonts w:hint="eastAsia" w:cs="Times New Roman"/>
                <w:color w:val="auto"/>
                <w:highlight w:val="none"/>
                <w:lang w:val="en-US" w:eastAsia="zh-CN"/>
              </w:rPr>
              <w:t>订</w:t>
            </w:r>
            <w:r>
              <w:rPr>
                <w:rFonts w:hint="eastAsia" w:ascii="Times New Roman" w:hAnsi="Times New Roman" w:cs="Times New Roman"/>
                <w:color w:val="auto"/>
                <w:highlight w:val="none"/>
                <w:lang w:val="en-US" w:eastAsia="zh-CN"/>
              </w:rPr>
              <w:t>合同时双方约定</w:t>
            </w:r>
            <w:r>
              <w:rPr>
                <w:rFonts w:hint="eastAsia" w:ascii="Times New Roman" w:hAnsi="Times New Roman" w:cs="Times New Roman"/>
                <w:color w:val="auto"/>
                <w:highlight w:val="none"/>
                <w:lang w:eastAsia="zh-CN"/>
              </w:rPr>
              <w:t>。</w:t>
            </w:r>
          </w:p>
        </w:tc>
      </w:tr>
    </w:tbl>
    <w:p>
      <w:pPr>
        <w:pStyle w:val="52"/>
        <w:rPr>
          <w:rFonts w:hint="eastAsia" w:ascii="黑体" w:eastAsia="黑体"/>
          <w:b/>
          <w:color w:val="auto"/>
          <w:sz w:val="24"/>
          <w:highlight w:val="none"/>
        </w:rPr>
      </w:pPr>
    </w:p>
    <w:p>
      <w:pPr>
        <w:adjustRightInd w:val="0"/>
        <w:snapToGrid w:val="0"/>
        <w:spacing w:line="400" w:lineRule="exact"/>
        <w:ind w:firstLine="3373" w:firstLineChars="1400"/>
        <w:rPr>
          <w:rFonts w:hint="eastAsia" w:ascii="黑体" w:eastAsia="黑体"/>
          <w:b/>
          <w:color w:val="auto"/>
          <w:sz w:val="24"/>
          <w:highlight w:val="none"/>
        </w:rPr>
      </w:pPr>
    </w:p>
    <w:p>
      <w:pPr>
        <w:adjustRightInd w:val="0"/>
        <w:snapToGrid w:val="0"/>
        <w:spacing w:line="400" w:lineRule="exact"/>
        <w:ind w:firstLine="3373" w:firstLineChars="1400"/>
        <w:rPr>
          <w:rFonts w:hint="eastAsia" w:ascii="黑体" w:eastAsia="黑体"/>
          <w:b/>
          <w:color w:val="auto"/>
          <w:sz w:val="24"/>
          <w:highlight w:val="none"/>
        </w:rPr>
      </w:pPr>
    </w:p>
    <w:p>
      <w:pPr>
        <w:pStyle w:val="2"/>
        <w:rPr>
          <w:rFonts w:hint="eastAsia" w:ascii="黑体" w:eastAsia="黑体"/>
          <w:b/>
          <w:color w:val="auto"/>
          <w:sz w:val="24"/>
          <w:highlight w:val="none"/>
        </w:rPr>
      </w:pPr>
    </w:p>
    <w:p>
      <w:pPr>
        <w:pStyle w:val="3"/>
        <w:rPr>
          <w:rFonts w:hint="eastAsia" w:ascii="黑体" w:eastAsia="黑体"/>
          <w:b/>
          <w:color w:val="auto"/>
          <w:sz w:val="24"/>
          <w:highlight w:val="none"/>
        </w:rPr>
      </w:pPr>
    </w:p>
    <w:p>
      <w:pPr>
        <w:pStyle w:val="4"/>
        <w:rPr>
          <w:rFonts w:hint="eastAsia" w:ascii="黑体" w:eastAsia="黑体"/>
          <w:b/>
          <w:color w:val="auto"/>
          <w:sz w:val="24"/>
          <w:highlight w:val="none"/>
        </w:rPr>
      </w:pPr>
    </w:p>
    <w:p>
      <w:pPr>
        <w:rPr>
          <w:rFonts w:hint="eastAsia" w:ascii="黑体" w:eastAsia="黑体"/>
          <w:b/>
          <w:color w:val="auto"/>
          <w:sz w:val="24"/>
          <w:highlight w:val="none"/>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pStyle w:val="3"/>
        <w:rPr>
          <w:rFonts w:hint="eastAsia"/>
        </w:rPr>
      </w:pPr>
    </w:p>
    <w:p>
      <w:pPr>
        <w:adjustRightInd w:val="0"/>
        <w:snapToGrid w:val="0"/>
        <w:spacing w:line="400" w:lineRule="exact"/>
        <w:ind w:firstLine="3373" w:firstLineChars="1400"/>
        <w:rPr>
          <w:rFonts w:hint="eastAsia" w:ascii="黑体" w:hAnsi="宋体" w:eastAsia="黑体"/>
          <w:b/>
          <w:color w:val="auto"/>
          <w:sz w:val="24"/>
          <w:highlight w:val="none"/>
        </w:rPr>
      </w:pPr>
      <w:r>
        <w:rPr>
          <w:rFonts w:hint="eastAsia" w:ascii="黑体" w:eastAsia="黑体"/>
          <w:b/>
          <w:color w:val="auto"/>
          <w:sz w:val="24"/>
          <w:highlight w:val="none"/>
        </w:rPr>
        <w:t>询价须知</w:t>
      </w:r>
      <w:r>
        <w:rPr>
          <w:rFonts w:hint="eastAsia" w:ascii="黑体" w:hAnsi="宋体" w:eastAsia="黑体"/>
          <w:b/>
          <w:color w:val="auto"/>
          <w:sz w:val="24"/>
          <w:highlight w:val="none"/>
        </w:rPr>
        <w:t>正文</w:t>
      </w:r>
    </w:p>
    <w:p>
      <w:pPr>
        <w:adjustRightInd w:val="0"/>
        <w:snapToGrid w:val="0"/>
        <w:spacing w:line="400" w:lineRule="exact"/>
        <w:rPr>
          <w:rFonts w:hint="eastAsia" w:ascii="黑体" w:hAnsi="宋体" w:eastAsia="黑体"/>
          <w:b/>
          <w:color w:val="auto"/>
          <w:sz w:val="24"/>
          <w:highlight w:val="none"/>
        </w:rPr>
      </w:pPr>
      <w:r>
        <w:rPr>
          <w:rFonts w:hint="eastAsia" w:ascii="黑体" w:hAnsi="宋体" w:eastAsia="黑体"/>
          <w:b/>
          <w:color w:val="auto"/>
          <w:sz w:val="24"/>
          <w:highlight w:val="none"/>
        </w:rPr>
        <w:t>一、说明</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 适用范围</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 本询价通知书仅适用于询价须知前附表(以下简称</w:t>
      </w:r>
      <w:r>
        <w:rPr>
          <w:rFonts w:hint="eastAsia" w:ascii="宋体" w:hAnsi="宋体"/>
          <w:b/>
          <w:color w:val="auto"/>
          <w:szCs w:val="21"/>
          <w:highlight w:val="none"/>
        </w:rPr>
        <w:t>询价须知前附表)</w:t>
      </w:r>
      <w:r>
        <w:rPr>
          <w:rFonts w:hint="eastAsia" w:ascii="宋体" w:hAnsi="宋体"/>
          <w:color w:val="auto"/>
          <w:szCs w:val="21"/>
          <w:highlight w:val="none"/>
        </w:rPr>
        <w:t>中所叙述的采购项目。</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2.定义</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2.1 “采购人”是指依法进行</w:t>
      </w:r>
      <w:r>
        <w:rPr>
          <w:rFonts w:hint="eastAsia" w:ascii="宋体" w:hAnsi="宋体"/>
          <w:color w:val="auto"/>
          <w:szCs w:val="21"/>
          <w:highlight w:val="none"/>
          <w:lang w:eastAsia="zh-CN"/>
        </w:rPr>
        <w:t>采购</w:t>
      </w:r>
      <w:r>
        <w:rPr>
          <w:rFonts w:hint="eastAsia" w:ascii="宋体" w:hAnsi="宋体"/>
          <w:color w:val="auto"/>
          <w:szCs w:val="21"/>
          <w:highlight w:val="none"/>
        </w:rPr>
        <w:t>的国家机关、事业单位、团体组织。本次</w:t>
      </w:r>
      <w:r>
        <w:rPr>
          <w:rFonts w:hint="eastAsia" w:ascii="宋体" w:hAnsi="宋体"/>
          <w:color w:val="auto"/>
          <w:szCs w:val="21"/>
          <w:highlight w:val="none"/>
          <w:lang w:eastAsia="zh-CN"/>
        </w:rPr>
        <w:t>采购</w:t>
      </w:r>
      <w:r>
        <w:rPr>
          <w:rFonts w:hint="eastAsia" w:ascii="宋体" w:hAnsi="宋体"/>
          <w:color w:val="auto"/>
          <w:szCs w:val="21"/>
          <w:highlight w:val="none"/>
        </w:rPr>
        <w:t>的采购人名称、地址、电话、联系人见</w:t>
      </w:r>
      <w:r>
        <w:rPr>
          <w:rFonts w:hint="eastAsia" w:ascii="宋体" w:hAnsi="宋体"/>
          <w:b/>
          <w:color w:val="auto"/>
          <w:szCs w:val="21"/>
          <w:highlight w:val="none"/>
        </w:rPr>
        <w:t>询价须知前附表</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2.2 “采购代理机构”是指接受采购人委托，代理采购项目的集中采购机构和其他采购代理机构。本次</w:t>
      </w:r>
      <w:r>
        <w:rPr>
          <w:rFonts w:hint="eastAsia" w:ascii="宋体" w:hAnsi="宋体"/>
          <w:color w:val="auto"/>
          <w:szCs w:val="21"/>
          <w:highlight w:val="none"/>
          <w:lang w:eastAsia="zh-CN"/>
        </w:rPr>
        <w:t>采购</w:t>
      </w:r>
      <w:r>
        <w:rPr>
          <w:rFonts w:hint="eastAsia" w:ascii="宋体" w:hAnsi="宋体"/>
          <w:color w:val="auto"/>
          <w:szCs w:val="21"/>
          <w:highlight w:val="none"/>
        </w:rPr>
        <w:t>的采购代理机构名称、地址、电话、联系人见</w:t>
      </w:r>
      <w:r>
        <w:rPr>
          <w:rFonts w:hint="eastAsia" w:ascii="宋体" w:hAnsi="宋体"/>
          <w:b/>
          <w:color w:val="auto"/>
          <w:szCs w:val="21"/>
          <w:highlight w:val="none"/>
        </w:rPr>
        <w:t>询价须知前附表。</w:t>
      </w:r>
    </w:p>
    <w:p>
      <w:pPr>
        <w:adjustRightInd w:val="0"/>
        <w:snapToGrid w:val="0"/>
        <w:spacing w:line="400" w:lineRule="exact"/>
        <w:ind w:firstLine="420" w:firstLineChars="200"/>
        <w:rPr>
          <w:rFonts w:hint="eastAsia" w:ascii="宋体" w:hAnsi="宋体" w:cs="宋体"/>
          <w:bCs/>
          <w:color w:val="auto"/>
          <w:kern w:val="36"/>
          <w:szCs w:val="21"/>
          <w:highlight w:val="none"/>
        </w:rPr>
      </w:pPr>
      <w:r>
        <w:rPr>
          <w:rFonts w:hint="eastAsia" w:ascii="宋体" w:hAnsi="宋体"/>
          <w:color w:val="auto"/>
          <w:szCs w:val="21"/>
          <w:highlight w:val="none"/>
        </w:rPr>
        <w:t>2.3 “供应商”是指响应询价通知书要求、参加询价采购的法人、其他组织或者自然人。本次</w:t>
      </w:r>
      <w:r>
        <w:rPr>
          <w:rFonts w:hint="eastAsia" w:ascii="宋体" w:hAnsi="宋体"/>
          <w:color w:val="auto"/>
          <w:szCs w:val="21"/>
          <w:highlight w:val="none"/>
          <w:lang w:eastAsia="zh-CN"/>
        </w:rPr>
        <w:t>采购</w:t>
      </w:r>
      <w:r>
        <w:rPr>
          <w:rFonts w:hint="eastAsia" w:ascii="宋体" w:hAnsi="宋体"/>
          <w:color w:val="auto"/>
          <w:szCs w:val="21"/>
          <w:highlight w:val="none"/>
        </w:rPr>
        <w:t>项目</w:t>
      </w:r>
      <w:r>
        <w:rPr>
          <w:rFonts w:hint="eastAsia" w:ascii="宋体" w:hAnsi="宋体" w:cs="宋体"/>
          <w:color w:val="auto"/>
          <w:kern w:val="0"/>
          <w:szCs w:val="21"/>
          <w:highlight w:val="none"/>
        </w:rPr>
        <w:t>邀请</w:t>
      </w:r>
      <w:r>
        <w:rPr>
          <w:rFonts w:hint="eastAsia" w:ascii="宋体" w:hAnsi="宋体"/>
          <w:color w:val="auto"/>
          <w:szCs w:val="21"/>
          <w:highlight w:val="none"/>
        </w:rPr>
        <w:t>的</w:t>
      </w:r>
      <w:r>
        <w:rPr>
          <w:rFonts w:hint="eastAsia" w:ascii="宋体" w:hAnsi="宋体" w:cs="宋体"/>
          <w:color w:val="auto"/>
          <w:kern w:val="0"/>
          <w:szCs w:val="21"/>
          <w:highlight w:val="none"/>
        </w:rPr>
        <w:t>供应商通过</w:t>
      </w:r>
      <w:r>
        <w:rPr>
          <w:rFonts w:hint="eastAsia" w:ascii="宋体" w:hAnsi="宋体"/>
          <w:b/>
          <w:color w:val="auto"/>
          <w:szCs w:val="21"/>
          <w:highlight w:val="none"/>
        </w:rPr>
        <w:t>询价须知前附表</w:t>
      </w:r>
      <w:r>
        <w:rPr>
          <w:rFonts w:hint="eastAsia" w:ascii="宋体" w:hAnsi="宋体"/>
          <w:color w:val="auto"/>
          <w:szCs w:val="21"/>
          <w:highlight w:val="none"/>
        </w:rPr>
        <w:t>所述方式</w:t>
      </w:r>
      <w:r>
        <w:rPr>
          <w:rFonts w:hint="eastAsia" w:ascii="宋体" w:hAnsi="宋体" w:cs="宋体"/>
          <w:color w:val="auto"/>
          <w:kern w:val="0"/>
          <w:szCs w:val="21"/>
          <w:highlight w:val="none"/>
        </w:rPr>
        <w:t>，经</w:t>
      </w:r>
      <w:r>
        <w:rPr>
          <w:rFonts w:hint="eastAsia" w:ascii="宋体" w:hAnsi="宋体" w:cs="宋体"/>
          <w:bCs/>
          <w:color w:val="auto"/>
          <w:kern w:val="36"/>
          <w:szCs w:val="21"/>
          <w:highlight w:val="none"/>
        </w:rPr>
        <w:t>询价小组确定。</w:t>
      </w:r>
      <w:r>
        <w:rPr>
          <w:rFonts w:hint="eastAsia" w:ascii="宋体" w:hAnsi="宋体"/>
          <w:color w:val="auto"/>
          <w:szCs w:val="21"/>
          <w:highlight w:val="none"/>
        </w:rPr>
        <w:t>据此，采购人或采购代理机构</w:t>
      </w:r>
      <w:r>
        <w:rPr>
          <w:rFonts w:hint="eastAsia" w:ascii="宋体" w:hAnsi="宋体" w:cs="宋体"/>
          <w:bCs/>
          <w:color w:val="auto"/>
          <w:kern w:val="36"/>
          <w:szCs w:val="21"/>
          <w:highlight w:val="none"/>
        </w:rPr>
        <w:t>己向其</w:t>
      </w:r>
      <w:r>
        <w:rPr>
          <w:rFonts w:hint="eastAsia" w:ascii="宋体" w:hAnsi="宋体"/>
          <w:color w:val="auto"/>
          <w:szCs w:val="21"/>
          <w:highlight w:val="none"/>
        </w:rPr>
        <w:t>发出询价通知，</w:t>
      </w:r>
      <w:r>
        <w:rPr>
          <w:rFonts w:hint="eastAsia" w:hAnsi="宋体"/>
          <w:color w:val="auto"/>
          <w:highlight w:val="none"/>
        </w:rPr>
        <w:t>供应商应持</w:t>
      </w:r>
      <w:r>
        <w:rPr>
          <w:rFonts w:hint="eastAsia" w:hAnsi="宋体"/>
          <w:b/>
          <w:color w:val="auto"/>
          <w:highlight w:val="none"/>
        </w:rPr>
        <w:t>询价须知前附表</w:t>
      </w:r>
      <w:r>
        <w:rPr>
          <w:rFonts w:hint="eastAsia" w:hAnsi="宋体"/>
          <w:color w:val="auto"/>
          <w:highlight w:val="none"/>
        </w:rPr>
        <w:t>规定的资料领取或购买询价通知书。</w:t>
      </w:r>
    </w:p>
    <w:p>
      <w:pPr>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2.4 “询价小组”是指</w:t>
      </w:r>
      <w:r>
        <w:rPr>
          <w:rFonts w:hint="eastAsia" w:ascii="宋体" w:hAnsi="宋体" w:cs="宋体"/>
          <w:color w:val="auto"/>
          <w:kern w:val="0"/>
          <w:szCs w:val="21"/>
          <w:highlight w:val="none"/>
        </w:rPr>
        <w:t>依据《中华人民共和国政府采购法》和财政部</w:t>
      </w:r>
      <w:r>
        <w:rPr>
          <w:rFonts w:ascii="宋体" w:hAnsi="宋体" w:cs="宋体"/>
          <w:bCs/>
          <w:color w:val="auto"/>
          <w:kern w:val="36"/>
          <w:szCs w:val="21"/>
          <w:highlight w:val="none"/>
        </w:rPr>
        <w:t>《政府采购非招标采购方式管理办法》</w:t>
      </w:r>
      <w:r>
        <w:rPr>
          <w:rFonts w:hint="eastAsia" w:ascii="宋体" w:hAnsi="宋体" w:cs="宋体"/>
          <w:bCs/>
          <w:color w:val="auto"/>
          <w:kern w:val="36"/>
          <w:szCs w:val="21"/>
          <w:highlight w:val="none"/>
        </w:rPr>
        <w:t>有关规定组建，依法依规</w:t>
      </w:r>
      <w:r>
        <w:rPr>
          <w:rFonts w:hint="eastAsia" w:ascii="宋体" w:hAnsi="宋体" w:cs="宋体"/>
          <w:color w:val="auto"/>
          <w:kern w:val="0"/>
          <w:szCs w:val="21"/>
          <w:highlight w:val="none"/>
        </w:rPr>
        <w:t>履行其职责和义务的机构。</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 “货物”是指各种形态和种类的物品，包括原材料、燃料、设备、产品等，详见《政府采购品目分类目录》(</w:t>
      </w:r>
      <w:r>
        <w:rPr>
          <w:rStyle w:val="32"/>
          <w:rFonts w:ascii="宋体" w:hAnsi="宋体"/>
          <w:b w:val="0"/>
          <w:color w:val="auto"/>
          <w:highlight w:val="none"/>
        </w:rPr>
        <w:t>财库</w:t>
      </w:r>
      <w:r>
        <w:rPr>
          <w:rStyle w:val="32"/>
          <w:rFonts w:hint="eastAsia" w:ascii="宋体" w:hAnsi="宋体"/>
          <w:b w:val="0"/>
          <w:color w:val="auto"/>
          <w:highlight w:val="none"/>
        </w:rPr>
        <w:t>[</w:t>
      </w:r>
      <w:r>
        <w:rPr>
          <w:rStyle w:val="32"/>
          <w:rFonts w:ascii="宋体" w:hAnsi="宋体"/>
          <w:b w:val="0"/>
          <w:color w:val="auto"/>
          <w:highlight w:val="none"/>
        </w:rPr>
        <w:t>2013</w:t>
      </w:r>
      <w:r>
        <w:rPr>
          <w:rStyle w:val="32"/>
          <w:rFonts w:hint="eastAsia" w:ascii="宋体" w:hAnsi="宋体"/>
          <w:b w:val="0"/>
          <w:color w:val="auto"/>
          <w:highlight w:val="none"/>
        </w:rPr>
        <w:t>]</w:t>
      </w:r>
      <w:r>
        <w:rPr>
          <w:rStyle w:val="32"/>
          <w:rFonts w:ascii="宋体" w:hAnsi="宋体"/>
          <w:b w:val="0"/>
          <w:color w:val="auto"/>
          <w:highlight w:val="none"/>
        </w:rPr>
        <w:t>189号</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 “节能产品”或者“环保产品”是指财政部发布的《节能产品政府采购清单》或者《环境标志产品政府采购清单》的产品，“两型产品”是指湖南省财政厅发布的</w:t>
      </w:r>
      <w:r>
        <w:rPr>
          <w:rFonts w:ascii="宋体" w:hAnsi="宋体"/>
          <w:color w:val="auto"/>
          <w:szCs w:val="21"/>
          <w:highlight w:val="none"/>
        </w:rPr>
        <w:t>《湖南省两型产品政府采购目录》</w:t>
      </w:r>
      <w:r>
        <w:rPr>
          <w:rFonts w:hint="eastAsia" w:ascii="宋体" w:hAnsi="宋体"/>
          <w:color w:val="auto"/>
          <w:szCs w:val="21"/>
          <w:highlight w:val="none"/>
        </w:rPr>
        <w:t>的产品。</w:t>
      </w:r>
    </w:p>
    <w:p>
      <w:pPr>
        <w:adjustRightInd w:val="0"/>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2.7 “进口产品”是指通过中国海关报关验放进入中国境内且产自关境外的产品，详见《</w:t>
      </w:r>
      <w:r>
        <w:rPr>
          <w:rFonts w:ascii="宋体" w:hAnsi="宋体" w:cs="宋体"/>
          <w:color w:val="auto"/>
          <w:kern w:val="0"/>
          <w:szCs w:val="21"/>
          <w:highlight w:val="none"/>
        </w:rPr>
        <w:t>关于政府采购进口产品管理有关问题的通知</w:t>
      </w:r>
      <w:r>
        <w:rPr>
          <w:rFonts w:hint="eastAsia" w:ascii="宋体" w:hAnsi="宋体" w:cs="宋体"/>
          <w:color w:val="auto"/>
          <w:kern w:val="0"/>
          <w:szCs w:val="21"/>
          <w:highlight w:val="none"/>
        </w:rPr>
        <w:t>》(财库[2007]119号)。</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3.供应商的资格要求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3.1 供应商应当符合</w:t>
      </w:r>
      <w:r>
        <w:rPr>
          <w:rFonts w:hint="eastAsia" w:ascii="宋体" w:hAnsi="宋体"/>
          <w:b/>
          <w:color w:val="auto"/>
          <w:szCs w:val="21"/>
          <w:highlight w:val="none"/>
        </w:rPr>
        <w:t>询价须知前附表</w:t>
      </w:r>
      <w:r>
        <w:rPr>
          <w:rFonts w:hint="eastAsia" w:ascii="宋体" w:hAnsi="宋体"/>
          <w:color w:val="auto"/>
          <w:szCs w:val="21"/>
          <w:highlight w:val="none"/>
        </w:rPr>
        <w:t>中规定的下列资格条件要求；</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（l）</w:t>
      </w:r>
      <w:r>
        <w:rPr>
          <w:rFonts w:hint="eastAsia" w:ascii="宋体" w:hAnsi="宋体" w:cs="宋体"/>
          <w:color w:val="auto"/>
          <w:kern w:val="0"/>
          <w:szCs w:val="21"/>
          <w:highlight w:val="none"/>
          <w:lang w:val="zh-CN"/>
        </w:rPr>
        <w:t>《政府采购法》第二十二条第一款规定的</w:t>
      </w:r>
      <w:r>
        <w:rPr>
          <w:rFonts w:hint="eastAsia" w:ascii="宋体" w:hAnsi="宋体"/>
          <w:color w:val="auto"/>
          <w:szCs w:val="21"/>
          <w:highlight w:val="none"/>
        </w:rPr>
        <w:t>供应商基本资格条件</w:t>
      </w:r>
      <w:r>
        <w:rPr>
          <w:rFonts w:hint="eastAsia" w:ascii="宋体" w:hAnsi="宋体" w:cs="宋体"/>
          <w:color w:val="auto"/>
          <w:kern w:val="0"/>
          <w:szCs w:val="21"/>
          <w:highlight w:val="none"/>
          <w:lang w:val="zh-CN"/>
        </w:rPr>
        <w:t>；</w:t>
      </w:r>
    </w:p>
    <w:p>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询价通知书</w:t>
      </w:r>
      <w:r>
        <w:rPr>
          <w:rFonts w:hint="eastAsia" w:ascii="宋体" w:hAnsi="宋体" w:cs="宋体"/>
          <w:color w:val="auto"/>
          <w:kern w:val="0"/>
          <w:szCs w:val="21"/>
          <w:highlight w:val="none"/>
          <w:lang w:val="zh-CN"/>
        </w:rPr>
        <w:t>规定的</w:t>
      </w:r>
      <w:r>
        <w:rPr>
          <w:rFonts w:hint="eastAsia" w:ascii="宋体" w:hAnsi="宋体"/>
          <w:color w:val="auto"/>
          <w:szCs w:val="21"/>
          <w:highlight w:val="none"/>
        </w:rPr>
        <w:t xml:space="preserve">供应商特定资格条件。 </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3.2 供应商不得存在下列情形之一：</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（l）与采购人、采购代理机构存在</w:t>
      </w:r>
      <w:r>
        <w:rPr>
          <w:rFonts w:hint="eastAsia" w:ascii="宋体" w:hAnsi="宋体"/>
          <w:bCs/>
          <w:color w:val="auto"/>
          <w:szCs w:val="21"/>
          <w:highlight w:val="none"/>
        </w:rPr>
        <w:t>隶属关系或者其他利害关系</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（2）与其他供应商的法定代表人（或者负责人）为同一人，或者与其他供应商存在控股、关联关系。</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受到刑事处罚，或者受到三万元以上的罚款、责令停产停业、在一至三年内禁止参加政府采购活动、暂扣或者吊销许可证、暂扣或者吊销执照等情形之一的行政处罚，或者存在</w:t>
      </w:r>
      <w:r>
        <w:rPr>
          <w:rFonts w:hint="eastAsia" w:ascii="宋体" w:hAnsi="宋体"/>
          <w:color w:val="auto"/>
          <w:szCs w:val="21"/>
          <w:highlight w:val="none"/>
        </w:rPr>
        <w:t>财政部门认定的其他重大违法记录。</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 xml:space="preserve">4.参与询价的费用 </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4.1 无论询价的结果如何，供应商应自行承担所有与询价采购活动有关的全部费用。</w:t>
      </w:r>
    </w:p>
    <w:p>
      <w:pPr>
        <w:pStyle w:val="16"/>
        <w:adjustRightInd w:val="0"/>
        <w:snapToGrid w:val="0"/>
        <w:spacing w:line="400" w:lineRule="exact"/>
        <w:rPr>
          <w:rFonts w:hint="eastAsia" w:hAnsi="宋体"/>
          <w:b/>
          <w:bCs/>
          <w:color w:val="auto"/>
          <w:highlight w:val="none"/>
        </w:rPr>
      </w:pPr>
      <w:r>
        <w:rPr>
          <w:rFonts w:hint="eastAsia" w:hAnsi="宋体"/>
          <w:b/>
          <w:color w:val="auto"/>
          <w:highlight w:val="none"/>
        </w:rPr>
        <w:t>5．</w:t>
      </w:r>
      <w:r>
        <w:rPr>
          <w:rFonts w:hint="eastAsia" w:hAnsi="宋体"/>
          <w:b/>
          <w:bCs/>
          <w:color w:val="auto"/>
          <w:highlight w:val="none"/>
        </w:rPr>
        <w:t>授权委托</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5.1供应商代表为供应商法定代表人的，应持有法定代表人身份证明。供应商代表不是供应商法定代表人的，应持有法定代表人授权书，并附法定代表人身份证明。</w:t>
      </w:r>
    </w:p>
    <w:p>
      <w:pPr>
        <w:pStyle w:val="16"/>
        <w:adjustRightInd w:val="0"/>
        <w:snapToGrid w:val="0"/>
        <w:spacing w:line="400" w:lineRule="exact"/>
        <w:rPr>
          <w:rFonts w:hint="eastAsia" w:hAnsi="宋体"/>
          <w:b/>
          <w:color w:val="auto"/>
          <w:highlight w:val="none"/>
        </w:rPr>
      </w:pPr>
      <w:r>
        <w:rPr>
          <w:rFonts w:hint="eastAsia" w:hAnsi="宋体"/>
          <w:b/>
          <w:color w:val="auto"/>
          <w:highlight w:val="none"/>
        </w:rPr>
        <w:t>6．联合体形式</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6.1除</w:t>
      </w:r>
      <w:r>
        <w:rPr>
          <w:rFonts w:hint="eastAsia" w:hAnsi="宋体"/>
          <w:b/>
          <w:color w:val="auto"/>
          <w:highlight w:val="none"/>
        </w:rPr>
        <w:t>询价须知前附表</w:t>
      </w:r>
      <w:r>
        <w:rPr>
          <w:rFonts w:hint="eastAsia" w:hAnsi="宋体"/>
          <w:color w:val="auto"/>
          <w:highlight w:val="none"/>
        </w:rPr>
        <w:t>中另有规定，本次询价采购不接受为联合体形式的供应商。</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6.2供应商</w:t>
      </w:r>
      <w:r>
        <w:rPr>
          <w:rFonts w:hint="eastAsia" w:hAnsi="宋体"/>
          <w:color w:val="auto"/>
          <w:highlight w:val="none"/>
        </w:rPr>
        <w:t>为联合体形式的</w:t>
      </w:r>
      <w:r>
        <w:rPr>
          <w:rFonts w:hint="eastAsia" w:ascii="宋体" w:hAnsi="宋体"/>
          <w:color w:val="auto"/>
          <w:szCs w:val="21"/>
          <w:highlight w:val="none"/>
        </w:rPr>
        <w:t>，除应符合本章第3条规定外，还应遵守以下规定：</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（l）联合体各方必须签订联合体协议书，明确联合体牵头人和各方的义务、工作、合同工作量比例；</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（2）联合体各方均应当符合本章第3.1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规定的供应商基本资格条件；</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highlight w:val="none"/>
        </w:rPr>
        <w:t>除</w:t>
      </w:r>
      <w:r>
        <w:rPr>
          <w:rFonts w:hint="eastAsia" w:ascii="宋体" w:hAnsi="宋体"/>
          <w:b/>
          <w:color w:val="auto"/>
          <w:highlight w:val="none"/>
        </w:rPr>
        <w:t>询价须知前附表</w:t>
      </w:r>
      <w:r>
        <w:rPr>
          <w:rFonts w:hint="eastAsia" w:ascii="宋体" w:hAnsi="宋体"/>
          <w:color w:val="auto"/>
          <w:highlight w:val="none"/>
        </w:rPr>
        <w:t>中另有规定，</w:t>
      </w:r>
      <w:r>
        <w:rPr>
          <w:rFonts w:hint="eastAsia" w:ascii="宋体" w:hAnsi="宋体"/>
          <w:color w:val="auto"/>
          <w:szCs w:val="21"/>
          <w:highlight w:val="none"/>
        </w:rPr>
        <w:t>联合体各方中至少有一方应当符合本章第3.1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规定的供应商特定资格条件；</w:t>
      </w:r>
    </w:p>
    <w:p>
      <w:pPr>
        <w:adjustRightInd w:val="0"/>
        <w:snapToGrid w:val="0"/>
        <w:spacing w:line="400" w:lineRule="exact"/>
        <w:ind w:firstLine="420" w:firstLineChars="200"/>
        <w:jc w:val="left"/>
        <w:rPr>
          <w:rFonts w:hint="eastAsia" w:ascii="宋体" w:hAnsi="宋体" w:cs="宋体"/>
          <w:color w:val="auto"/>
          <w:kern w:val="0"/>
          <w:szCs w:val="21"/>
          <w:highlight w:val="none"/>
          <w:lang w:val="zh-CN"/>
        </w:rPr>
      </w:pPr>
      <w:r>
        <w:rPr>
          <w:rFonts w:hint="eastAsia" w:ascii="宋体" w:hAnsi="宋体"/>
          <w:color w:val="auto"/>
          <w:szCs w:val="21"/>
          <w:highlight w:val="none"/>
        </w:rPr>
        <w:t>（4）</w:t>
      </w:r>
      <w:r>
        <w:rPr>
          <w:rFonts w:hint="eastAsia" w:ascii="宋体" w:hAnsi="宋体" w:cs="宋体"/>
          <w:color w:val="auto"/>
          <w:kern w:val="0"/>
          <w:szCs w:val="21"/>
          <w:highlight w:val="none"/>
          <w:lang w:val="zh-CN"/>
        </w:rPr>
        <w:t>联合体各方不得再单独或与其他供应商组成新的联合体参加同一项目的采购活动。</w:t>
      </w:r>
    </w:p>
    <w:p>
      <w:pPr>
        <w:adjustRightInd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7.现场勘察</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7.1供应商应按</w:t>
      </w:r>
      <w:r>
        <w:rPr>
          <w:rFonts w:hint="eastAsia" w:hAnsi="宋体"/>
          <w:b/>
          <w:color w:val="auto"/>
          <w:highlight w:val="none"/>
        </w:rPr>
        <w:t>询价须知前附表</w:t>
      </w:r>
      <w:r>
        <w:rPr>
          <w:rFonts w:hint="eastAsia" w:hAnsi="宋体"/>
          <w:color w:val="auto"/>
          <w:highlight w:val="none"/>
        </w:rPr>
        <w:t>中规定</w:t>
      </w:r>
      <w:r>
        <w:rPr>
          <w:rFonts w:hint="eastAsia" w:ascii="宋体" w:hAnsi="宋体"/>
          <w:color w:val="auto"/>
          <w:szCs w:val="21"/>
          <w:highlight w:val="none"/>
        </w:rPr>
        <w:t>对采购项目现场和周围环境的现场考察。</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7.2勘察现场的费用由供应商自己承担，勘察期间所发生的人身伤害及财产损失由供应商自己负责。</w:t>
      </w:r>
    </w:p>
    <w:p>
      <w:pPr>
        <w:adjustRightInd w:val="0"/>
        <w:snapToGrid w:val="0"/>
        <w:spacing w:line="400" w:lineRule="exact"/>
        <w:ind w:firstLine="420" w:firstLineChars="200"/>
        <w:jc w:val="left"/>
        <w:rPr>
          <w:rFonts w:hint="eastAsia" w:ascii="宋体" w:hAnsi="宋体"/>
          <w:b/>
          <w:color w:val="auto"/>
          <w:szCs w:val="21"/>
          <w:highlight w:val="none"/>
        </w:rPr>
      </w:pPr>
      <w:r>
        <w:rPr>
          <w:rFonts w:hint="eastAsia" w:ascii="宋体" w:hAnsi="宋体"/>
          <w:color w:val="auto"/>
          <w:szCs w:val="21"/>
          <w:highlight w:val="none"/>
        </w:rPr>
        <w:t>7.3采购人不对供应商据此而做出的推论、理解和结论负责。一旦成交，供应商不得以任何借口，而提出额外补偿，或延长合同期限的要求。</w:t>
      </w:r>
    </w:p>
    <w:p>
      <w:pPr>
        <w:adjustRightInd w:val="0"/>
        <w:snapToGrid w:val="0"/>
        <w:spacing w:line="400" w:lineRule="exact"/>
        <w:jc w:val="left"/>
        <w:rPr>
          <w:rFonts w:hint="eastAsia" w:ascii="宋体" w:hAnsi="宋体"/>
          <w:b/>
          <w:color w:val="auto"/>
          <w:szCs w:val="21"/>
          <w:highlight w:val="none"/>
        </w:rPr>
      </w:pPr>
      <w:r>
        <w:rPr>
          <w:rFonts w:hint="eastAsia" w:ascii="宋体" w:hAnsi="宋体"/>
          <w:b/>
          <w:color w:val="auto"/>
          <w:szCs w:val="21"/>
          <w:highlight w:val="none"/>
        </w:rPr>
        <w:t>8.采购进口产品</w:t>
      </w:r>
    </w:p>
    <w:p>
      <w:pPr>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8.1除</w:t>
      </w:r>
      <w:r>
        <w:rPr>
          <w:rFonts w:hint="eastAsia" w:ascii="宋体" w:hAnsi="宋体"/>
          <w:b/>
          <w:color w:val="auto"/>
          <w:szCs w:val="21"/>
          <w:highlight w:val="none"/>
        </w:rPr>
        <w:t>询价通知书前附表</w:t>
      </w:r>
      <w:r>
        <w:rPr>
          <w:rFonts w:hint="eastAsia" w:ascii="宋体" w:hAnsi="宋体"/>
          <w:color w:val="auto"/>
          <w:szCs w:val="21"/>
          <w:highlight w:val="none"/>
        </w:rPr>
        <w:t>另有规定外，本项目</w:t>
      </w:r>
      <w:r>
        <w:rPr>
          <w:rFonts w:hint="eastAsia" w:ascii="宋体" w:hAnsi="宋体" w:cs="宋体"/>
          <w:color w:val="auto"/>
          <w:kern w:val="0"/>
          <w:szCs w:val="21"/>
          <w:highlight w:val="none"/>
        </w:rPr>
        <w:t>拒绝进口产品参加</w:t>
      </w:r>
      <w:r>
        <w:rPr>
          <w:rFonts w:hint="eastAsia" w:ascii="宋体" w:hAnsi="宋体"/>
          <w:color w:val="auto"/>
          <w:szCs w:val="21"/>
          <w:highlight w:val="none"/>
        </w:rPr>
        <w:t>询价采购活动</w:t>
      </w:r>
      <w:r>
        <w:rPr>
          <w:rFonts w:hint="eastAsia" w:ascii="宋体" w:hAnsi="宋体" w:cs="宋体"/>
          <w:color w:val="auto"/>
          <w:kern w:val="0"/>
          <w:szCs w:val="21"/>
          <w:highlight w:val="none"/>
        </w:rPr>
        <w:t>。</w:t>
      </w:r>
    </w:p>
    <w:p>
      <w:pPr>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8.2</w:t>
      </w:r>
      <w:r>
        <w:rPr>
          <w:rFonts w:hint="eastAsia" w:ascii="宋体" w:hAnsi="宋体"/>
          <w:color w:val="auto"/>
          <w:szCs w:val="21"/>
          <w:highlight w:val="none"/>
        </w:rPr>
        <w:t>本章第8.1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w:t>
      </w:r>
      <w:r>
        <w:rPr>
          <w:rFonts w:ascii="宋体" w:hAnsi="宋体" w:cs="宋体"/>
          <w:color w:val="auto"/>
          <w:kern w:val="0"/>
          <w:szCs w:val="21"/>
          <w:highlight w:val="none"/>
        </w:rPr>
        <w:t>同意购买进口产品的</w:t>
      </w:r>
      <w:r>
        <w:rPr>
          <w:rFonts w:hint="eastAsia" w:ascii="宋体" w:hAnsi="宋体" w:cs="宋体"/>
          <w:color w:val="auto"/>
          <w:kern w:val="0"/>
          <w:szCs w:val="21"/>
          <w:highlight w:val="none"/>
        </w:rPr>
        <w:t>，</w:t>
      </w:r>
      <w:r>
        <w:rPr>
          <w:rFonts w:hint="eastAsia" w:ascii="宋体" w:hAnsi="宋体"/>
          <w:color w:val="auto"/>
          <w:szCs w:val="21"/>
          <w:highlight w:val="none"/>
        </w:rPr>
        <w:t>本项目</w:t>
      </w:r>
      <w:r>
        <w:rPr>
          <w:rFonts w:hint="eastAsia" w:ascii="宋体" w:hAnsi="宋体" w:cs="宋体"/>
          <w:color w:val="auto"/>
          <w:kern w:val="0"/>
          <w:szCs w:val="21"/>
          <w:highlight w:val="none"/>
          <w:lang w:val="zh-CN"/>
        </w:rPr>
        <w:t>采购活动</w:t>
      </w:r>
      <w:r>
        <w:rPr>
          <w:rFonts w:hint="eastAsia" w:ascii="宋体" w:hAnsi="宋体" w:cs="宋体"/>
          <w:color w:val="auto"/>
          <w:kern w:val="0"/>
          <w:szCs w:val="21"/>
          <w:highlight w:val="none"/>
        </w:rPr>
        <w:t>不</w:t>
      </w:r>
      <w:r>
        <w:rPr>
          <w:rFonts w:ascii="宋体" w:hAnsi="宋体" w:cs="宋体"/>
          <w:color w:val="auto"/>
          <w:kern w:val="0"/>
          <w:szCs w:val="21"/>
          <w:highlight w:val="none"/>
        </w:rPr>
        <w:t>限制满足</w:t>
      </w:r>
      <w:r>
        <w:rPr>
          <w:rFonts w:hint="eastAsia" w:ascii="宋体" w:hAnsi="宋体"/>
          <w:color w:val="auto"/>
          <w:szCs w:val="21"/>
          <w:highlight w:val="none"/>
        </w:rPr>
        <w:t>询价通知书要求</w:t>
      </w:r>
      <w:r>
        <w:rPr>
          <w:rFonts w:ascii="宋体" w:hAnsi="宋体" w:cs="宋体"/>
          <w:color w:val="auto"/>
          <w:kern w:val="0"/>
          <w:szCs w:val="21"/>
          <w:highlight w:val="none"/>
        </w:rPr>
        <w:t>的国内产品参与</w:t>
      </w:r>
      <w:r>
        <w:rPr>
          <w:rFonts w:hint="eastAsia" w:ascii="宋体" w:hAnsi="宋体"/>
          <w:color w:val="auto"/>
          <w:szCs w:val="21"/>
          <w:highlight w:val="none"/>
        </w:rPr>
        <w:t>询价</w:t>
      </w:r>
      <w:r>
        <w:rPr>
          <w:rFonts w:ascii="宋体" w:hAnsi="宋体" w:cs="宋体"/>
          <w:color w:val="auto"/>
          <w:kern w:val="0"/>
          <w:szCs w:val="21"/>
          <w:highlight w:val="none"/>
        </w:rPr>
        <w:t>。</w:t>
      </w:r>
    </w:p>
    <w:p>
      <w:pPr>
        <w:adjustRightInd w:val="0"/>
        <w:snapToGrid w:val="0"/>
        <w:spacing w:line="400" w:lineRule="exact"/>
        <w:jc w:val="left"/>
        <w:rPr>
          <w:rFonts w:hint="eastAsia" w:ascii="宋体" w:hAnsi="宋体"/>
          <w:b/>
          <w:color w:val="auto"/>
          <w:szCs w:val="21"/>
          <w:highlight w:val="none"/>
        </w:rPr>
      </w:pPr>
      <w:r>
        <w:rPr>
          <w:rFonts w:hint="eastAsia" w:ascii="宋体" w:hAnsi="宋体"/>
          <w:b/>
          <w:bCs/>
          <w:color w:val="auto"/>
          <w:szCs w:val="21"/>
          <w:highlight w:val="none"/>
        </w:rPr>
        <w:t>9.</w:t>
      </w:r>
      <w:r>
        <w:rPr>
          <w:rFonts w:hint="eastAsia" w:ascii="宋体" w:hAnsi="宋体"/>
          <w:b/>
          <w:color w:val="auto"/>
          <w:szCs w:val="21"/>
          <w:highlight w:val="none"/>
        </w:rPr>
        <w:t xml:space="preserve"> 政府采购政策支持</w:t>
      </w:r>
    </w:p>
    <w:p>
      <w:pPr>
        <w:pStyle w:val="16"/>
        <w:adjustRightInd w:val="0"/>
        <w:snapToGrid w:val="0"/>
        <w:spacing w:line="400" w:lineRule="exact"/>
        <w:ind w:firstLine="420" w:firstLineChars="200"/>
        <w:rPr>
          <w:rFonts w:hint="eastAsia"/>
          <w:color w:val="auto"/>
          <w:highlight w:val="none"/>
        </w:rPr>
      </w:pPr>
      <w:r>
        <w:rPr>
          <w:rFonts w:hint="eastAsia"/>
          <w:color w:val="auto"/>
          <w:highlight w:val="none"/>
        </w:rPr>
        <w:t>9.1产品符合政府采购强制采购政策的，实行强制采购；符合政府采购优先采购政策的，产品只能享受节能产品、环境标志产品、两型产品等产品优惠中的一项(由供应商在报价文件中选择并填报政策功能编码，评审时进行</w:t>
      </w:r>
      <w:r>
        <w:rPr>
          <w:rFonts w:hint="eastAsia" w:cs="宋体"/>
          <w:color w:val="auto"/>
          <w:kern w:val="0"/>
          <w:highlight w:val="none"/>
        </w:rPr>
        <w:t>价格扣除</w:t>
      </w:r>
      <w:r>
        <w:rPr>
          <w:rFonts w:hint="eastAsia"/>
          <w:color w:val="auto"/>
          <w:highlight w:val="none"/>
        </w:rPr>
        <w:t>)；供应商享受</w:t>
      </w:r>
      <w:r>
        <w:rPr>
          <w:rFonts w:hint="eastAsia" w:cs="宋体"/>
          <w:bCs/>
          <w:color w:val="auto"/>
          <w:kern w:val="0"/>
          <w:highlight w:val="none"/>
        </w:rPr>
        <w:t>支持</w:t>
      </w:r>
      <w:r>
        <w:rPr>
          <w:rFonts w:hint="eastAsia"/>
          <w:color w:val="auto"/>
          <w:highlight w:val="none"/>
        </w:rPr>
        <w:t>中小企业发展政策优惠的，可以与同时享受节能产品、环境标志产品、两型产品等产品优惠中的一项累加扣除。省级以上财政部门关于政府采购强制采购、优先采购的政策规定可在本章第36.1</w:t>
      </w:r>
      <w:r>
        <w:rPr>
          <w:rFonts w:hint="eastAsia" w:cs="宋体"/>
          <w:color w:val="auto"/>
          <w:kern w:val="0"/>
          <w:highlight w:val="none"/>
          <w:lang w:val="zh-CN"/>
        </w:rPr>
        <w:t>款</w:t>
      </w:r>
      <w:r>
        <w:rPr>
          <w:rFonts w:hint="eastAsia"/>
          <w:color w:val="auto"/>
          <w:highlight w:val="none"/>
        </w:rPr>
        <w:t>指定的媒体和中国政府采购网(</w:t>
      </w:r>
      <w:r>
        <w:rPr>
          <w:rFonts w:hint="eastAsia" w:hAnsi="宋体"/>
          <w:color w:val="auto"/>
          <w:highlight w:val="none"/>
        </w:rPr>
        <w:t>www.ccgp.gov.cn</w:t>
      </w:r>
      <w:r>
        <w:rPr>
          <w:rFonts w:hint="eastAsia"/>
          <w:color w:val="auto"/>
          <w:highlight w:val="none"/>
        </w:rPr>
        <w:t>)查询。本项目价格扣除比例见</w:t>
      </w:r>
      <w:r>
        <w:rPr>
          <w:rFonts w:hint="eastAsia"/>
          <w:b/>
          <w:color w:val="auto"/>
          <w:highlight w:val="none"/>
        </w:rPr>
        <w:t>询价须知前附表</w:t>
      </w:r>
      <w:r>
        <w:rPr>
          <w:rFonts w:hint="eastAsia"/>
          <w:color w:val="auto"/>
          <w:highlight w:val="none"/>
        </w:rPr>
        <w:t>。</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9.2同一项目中部分产品属于优先采购政策的，评审时只对该部分产品的报价实行价格扣除。</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9.3为</w:t>
      </w:r>
      <w:r>
        <w:rPr>
          <w:rFonts w:hint="eastAsia" w:ascii="宋体" w:hAnsi="宋体" w:cs="宋体"/>
          <w:color w:val="auto"/>
          <w:szCs w:val="21"/>
          <w:highlight w:val="none"/>
        </w:rPr>
        <w:t>推进</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诚信体系建设，</w:t>
      </w:r>
      <w:r>
        <w:rPr>
          <w:rFonts w:hint="eastAsia" w:ascii="宋体" w:hAnsi="宋体"/>
          <w:color w:val="auto"/>
          <w:szCs w:val="21"/>
          <w:highlight w:val="none"/>
        </w:rPr>
        <w:t>供应商在签署相关承诺，提供相关信息前，应认真阅读省级以上财政部门相关政策规定。符合本章第9.1</w:t>
      </w:r>
      <w:r>
        <w:rPr>
          <w:rFonts w:hint="eastAsia" w:ascii="宋体" w:hAnsi="宋体" w:cs="宋体"/>
          <w:color w:val="auto"/>
          <w:kern w:val="0"/>
          <w:szCs w:val="21"/>
          <w:highlight w:val="none"/>
          <w:lang w:val="zh-CN"/>
        </w:rPr>
        <w:t>款、</w:t>
      </w:r>
      <w:r>
        <w:rPr>
          <w:rFonts w:hint="eastAsia" w:ascii="宋体" w:hAnsi="宋体"/>
          <w:color w:val="auto"/>
          <w:szCs w:val="21"/>
          <w:highlight w:val="none"/>
        </w:rPr>
        <w:t>第9.2</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规定的，应提供相关证明材料。</w:t>
      </w:r>
    </w:p>
    <w:p>
      <w:pPr>
        <w:adjustRightInd w:val="0"/>
        <w:snapToGrid w:val="0"/>
        <w:spacing w:line="400" w:lineRule="exact"/>
        <w:ind w:left="906" w:hanging="906" w:hangingChars="376"/>
        <w:rPr>
          <w:rFonts w:hint="eastAsia" w:ascii="黑体" w:hAnsi="宋体" w:eastAsia="黑体"/>
          <w:b/>
          <w:color w:val="auto"/>
          <w:sz w:val="24"/>
          <w:highlight w:val="none"/>
        </w:rPr>
      </w:pPr>
      <w:r>
        <w:rPr>
          <w:rFonts w:hint="eastAsia" w:ascii="黑体" w:hAnsi="宋体" w:eastAsia="黑体"/>
          <w:b/>
          <w:color w:val="auto"/>
          <w:sz w:val="24"/>
          <w:highlight w:val="none"/>
        </w:rPr>
        <w:t>二、询价通知书</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10．询价通知书的组成</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10.1 询价通知书由下列文件组成：</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第一章 询价通知</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第二章 询价须知</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 xml:space="preserve">第三章 </w:t>
      </w:r>
      <w:r>
        <w:rPr>
          <w:rFonts w:hint="eastAsia" w:hAnsi="宋体"/>
          <w:color w:val="auto"/>
          <w:highlight w:val="none"/>
          <w:lang w:eastAsia="zh-CN"/>
        </w:rPr>
        <w:t>采购</w:t>
      </w:r>
      <w:r>
        <w:rPr>
          <w:rFonts w:hint="eastAsia" w:hAnsi="宋体"/>
          <w:color w:val="auto"/>
          <w:highlight w:val="none"/>
        </w:rPr>
        <w:t>合同格式条款</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第四章 采购需求</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第五章 响应文件组成</w:t>
      </w:r>
    </w:p>
    <w:p>
      <w:pPr>
        <w:pStyle w:val="16"/>
        <w:adjustRightInd w:val="0"/>
        <w:snapToGrid w:val="0"/>
        <w:spacing w:line="400" w:lineRule="exact"/>
        <w:ind w:firstLine="420" w:firstLineChars="200"/>
        <w:rPr>
          <w:rFonts w:hint="eastAsia"/>
          <w:color w:val="auto"/>
          <w:highlight w:val="none"/>
        </w:rPr>
      </w:pPr>
      <w:r>
        <w:rPr>
          <w:rFonts w:hint="eastAsia"/>
          <w:color w:val="auto"/>
          <w:highlight w:val="none"/>
        </w:rPr>
        <w:t>10.2</w:t>
      </w:r>
      <w:r>
        <w:rPr>
          <w:rFonts w:hint="eastAsia" w:hAnsi="宋体"/>
          <w:bCs/>
          <w:color w:val="auto"/>
          <w:highlight w:val="none"/>
        </w:rPr>
        <w:t>本章第11.1</w:t>
      </w:r>
      <w:r>
        <w:rPr>
          <w:rFonts w:hint="eastAsia" w:hAnsi="宋体" w:cs="宋体"/>
          <w:color w:val="auto"/>
          <w:kern w:val="0"/>
          <w:highlight w:val="none"/>
          <w:lang w:val="zh-CN"/>
        </w:rPr>
        <w:t>款</w:t>
      </w:r>
      <w:r>
        <w:rPr>
          <w:rFonts w:hint="eastAsia" w:hAnsi="宋体"/>
          <w:bCs/>
          <w:color w:val="auto"/>
          <w:highlight w:val="none"/>
        </w:rPr>
        <w:t>规定的</w:t>
      </w:r>
      <w:r>
        <w:rPr>
          <w:rFonts w:hint="eastAsia" w:hAnsi="宋体" w:cs="宋体"/>
          <w:color w:val="auto"/>
          <w:kern w:val="0"/>
          <w:highlight w:val="none"/>
        </w:rPr>
        <w:t>提交响应文件截止时间前对询价通知书澄清或者修改内容，为询价通知书的组成部分。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10.3</w:t>
      </w:r>
      <w:r>
        <w:rPr>
          <w:rFonts w:hint="eastAsia" w:ascii="宋体" w:hAnsi="宋体"/>
          <w:color w:val="auto"/>
          <w:szCs w:val="21"/>
          <w:highlight w:val="none"/>
        </w:rPr>
        <w:t>供应商应仔细阅读</w:t>
      </w:r>
      <w:r>
        <w:rPr>
          <w:rFonts w:hint="eastAsia" w:ascii="宋体" w:hAnsi="宋体"/>
          <w:bCs/>
          <w:color w:val="auto"/>
          <w:szCs w:val="21"/>
          <w:highlight w:val="none"/>
        </w:rPr>
        <w:t>询价通知书</w:t>
      </w:r>
      <w:r>
        <w:rPr>
          <w:rFonts w:hint="eastAsia" w:ascii="宋体" w:hAnsi="宋体"/>
          <w:color w:val="auto"/>
          <w:szCs w:val="21"/>
          <w:highlight w:val="none"/>
        </w:rPr>
        <w:t>的全部内容，按照</w:t>
      </w:r>
      <w:r>
        <w:rPr>
          <w:rFonts w:hint="eastAsia" w:ascii="宋体" w:hAnsi="宋体"/>
          <w:bCs/>
          <w:color w:val="auto"/>
          <w:szCs w:val="21"/>
          <w:highlight w:val="none"/>
        </w:rPr>
        <w:t>询价通知书</w:t>
      </w:r>
      <w:r>
        <w:rPr>
          <w:rFonts w:hint="eastAsia" w:ascii="宋体" w:hAnsi="宋体"/>
          <w:color w:val="auto"/>
          <w:szCs w:val="21"/>
          <w:highlight w:val="none"/>
        </w:rPr>
        <w:t>要求编制</w:t>
      </w:r>
      <w:r>
        <w:rPr>
          <w:rFonts w:hint="eastAsia"/>
          <w:color w:val="auto"/>
          <w:szCs w:val="21"/>
          <w:highlight w:val="none"/>
        </w:rPr>
        <w:t>响应</w:t>
      </w:r>
      <w:r>
        <w:rPr>
          <w:rFonts w:hint="eastAsia" w:ascii="宋体" w:hAnsi="宋体"/>
          <w:color w:val="auto"/>
          <w:szCs w:val="21"/>
          <w:highlight w:val="none"/>
        </w:rPr>
        <w:t>文件。任何对</w:t>
      </w:r>
      <w:r>
        <w:rPr>
          <w:rFonts w:hint="eastAsia" w:ascii="宋体" w:hAnsi="宋体"/>
          <w:bCs/>
          <w:color w:val="auto"/>
          <w:szCs w:val="21"/>
          <w:highlight w:val="none"/>
        </w:rPr>
        <w:t>询价通知书</w:t>
      </w:r>
      <w:r>
        <w:rPr>
          <w:rFonts w:hint="eastAsia" w:ascii="宋体" w:hAnsi="宋体"/>
          <w:color w:val="auto"/>
          <w:szCs w:val="21"/>
          <w:highlight w:val="none"/>
        </w:rPr>
        <w:t>的忽略或误解不能作为</w:t>
      </w:r>
      <w:r>
        <w:rPr>
          <w:rFonts w:hint="eastAsia"/>
          <w:color w:val="auto"/>
          <w:szCs w:val="21"/>
          <w:highlight w:val="none"/>
        </w:rPr>
        <w:t>响应</w:t>
      </w:r>
      <w:r>
        <w:rPr>
          <w:rFonts w:hint="eastAsia" w:ascii="宋体" w:hAnsi="宋体"/>
          <w:color w:val="auto"/>
          <w:szCs w:val="21"/>
          <w:highlight w:val="none"/>
        </w:rPr>
        <w:t>文件存在缺陷或瑕疵的理由，其风险由供应商承担。</w:t>
      </w:r>
    </w:p>
    <w:p>
      <w:pPr>
        <w:pStyle w:val="16"/>
        <w:adjustRightInd w:val="0"/>
        <w:snapToGrid w:val="0"/>
        <w:spacing w:line="400" w:lineRule="exact"/>
        <w:rPr>
          <w:rFonts w:hint="eastAsia" w:hAnsi="宋体"/>
          <w:color w:val="auto"/>
          <w:highlight w:val="none"/>
        </w:rPr>
      </w:pPr>
      <w:r>
        <w:rPr>
          <w:rFonts w:hint="eastAsia" w:hAnsi="宋体"/>
          <w:b/>
          <w:color w:val="auto"/>
          <w:highlight w:val="none"/>
        </w:rPr>
        <w:t>11.</w:t>
      </w:r>
      <w:r>
        <w:rPr>
          <w:rFonts w:hint="eastAsia" w:hAnsi="宋体" w:cs="宋体"/>
          <w:b/>
          <w:color w:val="auto"/>
          <w:kern w:val="0"/>
          <w:highlight w:val="none"/>
        </w:rPr>
        <w:t>提交响应文件</w:t>
      </w:r>
      <w:r>
        <w:rPr>
          <w:rFonts w:hint="eastAsia" w:hAnsi="宋体"/>
          <w:b/>
          <w:color w:val="auto"/>
          <w:highlight w:val="none"/>
        </w:rPr>
        <w:t>的</w:t>
      </w:r>
      <w:r>
        <w:rPr>
          <w:rFonts w:hint="eastAsia" w:hAnsi="宋体" w:cs="宋体"/>
          <w:b/>
          <w:color w:val="auto"/>
          <w:kern w:val="0"/>
          <w:highlight w:val="none"/>
        </w:rPr>
        <w:t>截止</w:t>
      </w:r>
      <w:r>
        <w:rPr>
          <w:rFonts w:hint="eastAsia" w:hAnsi="宋体"/>
          <w:b/>
          <w:color w:val="auto"/>
          <w:highlight w:val="none"/>
        </w:rPr>
        <w:t>时间</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11.1</w:t>
      </w:r>
      <w:r>
        <w:rPr>
          <w:rFonts w:hint="eastAsia" w:hAnsi="宋体" w:cs="宋体"/>
          <w:color w:val="auto"/>
          <w:kern w:val="0"/>
          <w:highlight w:val="none"/>
        </w:rPr>
        <w:t>供应商提交响应文件截止</w:t>
      </w:r>
      <w:r>
        <w:rPr>
          <w:rFonts w:hint="eastAsia" w:hAnsi="宋体"/>
          <w:color w:val="auto"/>
          <w:highlight w:val="none"/>
        </w:rPr>
        <w:t>时间见</w:t>
      </w:r>
      <w:r>
        <w:rPr>
          <w:rFonts w:hint="eastAsia" w:hAnsi="宋体"/>
          <w:b/>
          <w:color w:val="auto"/>
          <w:highlight w:val="none"/>
        </w:rPr>
        <w:t>询价须知前附表</w:t>
      </w:r>
      <w:r>
        <w:rPr>
          <w:rFonts w:hint="eastAsia" w:hAnsi="宋体"/>
          <w:color w:val="auto"/>
          <w:highlight w:val="none"/>
        </w:rPr>
        <w:t>。</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12.询价通知书的澄清</w:t>
      </w:r>
      <w:r>
        <w:rPr>
          <w:rFonts w:hint="eastAsia" w:ascii="宋体" w:hAnsi="宋体"/>
          <w:b/>
          <w:color w:val="auto"/>
          <w:kern w:val="0"/>
          <w:szCs w:val="21"/>
          <w:highlight w:val="none"/>
          <w:lang w:val="zh-CN"/>
        </w:rPr>
        <w:t>或者</w:t>
      </w:r>
      <w:r>
        <w:rPr>
          <w:rFonts w:hint="eastAsia" w:ascii="宋体" w:hAnsi="宋体"/>
          <w:b/>
          <w:bCs/>
          <w:color w:val="auto"/>
          <w:szCs w:val="21"/>
          <w:highlight w:val="none"/>
        </w:rPr>
        <w:t>修改</w:t>
      </w:r>
    </w:p>
    <w:p>
      <w:pPr>
        <w:adjustRightInd w:val="0"/>
        <w:snapToGrid w:val="0"/>
        <w:spacing w:line="400" w:lineRule="exact"/>
        <w:ind w:right="-105" w:rightChars="-50"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12.1在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 xml:space="preserve">提交响应文件截止之日前，采购人、采购代理机构或者询价小组可以对已发出的询价通知书进行必要的澄清或者修改。 </w:t>
      </w:r>
    </w:p>
    <w:p>
      <w:pPr>
        <w:adjustRightInd w:val="0"/>
        <w:snapToGrid w:val="0"/>
        <w:spacing w:line="400" w:lineRule="exact"/>
        <w:ind w:right="-105" w:rightChars="-50"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12.2</w:t>
      </w:r>
      <w:r>
        <w:rPr>
          <w:rFonts w:hint="eastAsia" w:ascii="宋体" w:hAnsi="宋体" w:cs="宋体"/>
          <w:color w:val="auto"/>
          <w:kern w:val="0"/>
          <w:szCs w:val="21"/>
          <w:highlight w:val="none"/>
        </w:rPr>
        <w:t>澄清或者修改的内容可能影响响应文件编制的，采购人、采购代理机构或者询价小组应当在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提交响应文件截止之日3个工作日前，以书面形式通知所有接收询价通知书的供应商，不足3个工作日的，顺延供应商提交响应文件截止时间。</w:t>
      </w:r>
    </w:p>
    <w:p>
      <w:pPr>
        <w:adjustRightInd w:val="0"/>
        <w:snapToGrid w:val="0"/>
        <w:spacing w:line="400" w:lineRule="exact"/>
        <w:rPr>
          <w:rFonts w:hint="eastAsia" w:ascii="黑体" w:hAnsi="宋体" w:eastAsia="黑体"/>
          <w:b/>
          <w:color w:val="auto"/>
          <w:sz w:val="24"/>
          <w:highlight w:val="none"/>
        </w:rPr>
      </w:pPr>
      <w:r>
        <w:rPr>
          <w:rFonts w:hint="eastAsia" w:ascii="黑体" w:hAnsi="宋体" w:eastAsia="黑体"/>
          <w:b/>
          <w:color w:val="auto"/>
          <w:sz w:val="24"/>
          <w:highlight w:val="none"/>
        </w:rPr>
        <w:t>三、响应文件</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13.一般要求</w:t>
      </w:r>
    </w:p>
    <w:p>
      <w:pPr>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13.1 供应商应仔细阅读询价通知书的所有内容，按询价通知书的要求编制响应文件，并保证所提供的全部资料的真实性，以使其响应文件对询价通知书做出实质性的响应。</w:t>
      </w:r>
    </w:p>
    <w:p>
      <w:pPr>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13.2 </w:t>
      </w:r>
      <w:r>
        <w:rPr>
          <w:rFonts w:hint="eastAsia" w:ascii="宋体" w:hAnsi="宋体"/>
          <w:color w:val="auto"/>
          <w:szCs w:val="21"/>
          <w:highlight w:val="none"/>
        </w:rPr>
        <w:t>供应商提交的响应文件及供应商与采购人或采购代理机构、询价小组就有关询价的所有来往函电均使用中文。供应商可以提交其它语言的资料，但应附中文注释，在有差异时以中文为准。</w:t>
      </w:r>
    </w:p>
    <w:p>
      <w:pPr>
        <w:pStyle w:val="16"/>
        <w:adjustRightInd w:val="0"/>
        <w:snapToGrid w:val="0"/>
        <w:spacing w:line="400" w:lineRule="exact"/>
        <w:ind w:firstLine="420" w:firstLineChars="200"/>
        <w:rPr>
          <w:rFonts w:hint="eastAsia" w:hAnsi="宋体"/>
          <w:color w:val="auto"/>
          <w:highlight w:val="none"/>
        </w:rPr>
      </w:pPr>
      <w:r>
        <w:rPr>
          <w:rFonts w:hint="eastAsia" w:hAnsi="宋体"/>
          <w:bCs/>
          <w:color w:val="auto"/>
          <w:highlight w:val="none"/>
        </w:rPr>
        <w:t xml:space="preserve">13.3 </w:t>
      </w:r>
      <w:r>
        <w:rPr>
          <w:rFonts w:hint="eastAsia" w:hAnsi="宋体"/>
          <w:color w:val="auto"/>
          <w:highlight w:val="none"/>
        </w:rPr>
        <w:t>计量单位应使用我国法定计量单位，未列明时应默认为我国法定计量单位。</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13.4 响应文件应采用书面形式，电报、传真、电子邮件形式的响应文件概不接受。</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13.5 供应商应按询价通知书中提供的响应文件格式填写。</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响应文件</w:t>
      </w:r>
      <w:r>
        <w:rPr>
          <w:rFonts w:hint="eastAsia" w:ascii="宋体" w:hAnsi="宋体"/>
          <w:b/>
          <w:bCs/>
          <w:color w:val="auto"/>
          <w:szCs w:val="21"/>
          <w:highlight w:val="none"/>
        </w:rPr>
        <w:t>的组成</w:t>
      </w:r>
    </w:p>
    <w:p>
      <w:pPr>
        <w:adjustRightInd w:val="0"/>
        <w:snapToGrid w:val="0"/>
        <w:spacing w:line="400" w:lineRule="exact"/>
        <w:ind w:firstLine="420" w:firstLineChars="200"/>
        <w:jc w:val="left"/>
        <w:outlineLvl w:val="0"/>
        <w:rPr>
          <w:rFonts w:hint="eastAsia" w:ascii="宋体" w:hAnsi="宋体"/>
          <w:color w:val="auto"/>
          <w:szCs w:val="21"/>
          <w:highlight w:val="none"/>
        </w:rPr>
      </w:pPr>
      <w:r>
        <w:rPr>
          <w:rFonts w:hint="eastAsia" w:ascii="宋体" w:hAnsi="宋体"/>
          <w:color w:val="auto"/>
          <w:highlight w:val="none"/>
        </w:rPr>
        <w:t>14.1</w:t>
      </w:r>
      <w:r>
        <w:rPr>
          <w:rFonts w:hint="eastAsia" w:hAnsi="宋体"/>
          <w:color w:val="auto"/>
          <w:highlight w:val="none"/>
        </w:rPr>
        <w:t xml:space="preserve"> 响应文件包括下列内容：</w:t>
      </w:r>
      <w:r>
        <w:rPr>
          <w:rFonts w:hint="eastAsia" w:ascii="宋体" w:hAnsi="宋体"/>
          <w:color w:val="auto"/>
          <w:szCs w:val="21"/>
          <w:highlight w:val="none"/>
        </w:rPr>
        <w:t xml:space="preserve"> </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（1）询价响应声明</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（2）保证金</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（3）供应商的资格证明文件</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（4）货物说明或者服务方案(根据项目属性编制)</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（5）技术/商务响应与偏离表</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（6）提供</w:t>
      </w:r>
      <w:r>
        <w:rPr>
          <w:rFonts w:hint="eastAsia" w:hAnsi="宋体"/>
          <w:color w:val="auto"/>
          <w:highlight w:val="none"/>
          <w:lang w:eastAsia="zh-CN"/>
        </w:rPr>
        <w:t>采购</w:t>
      </w:r>
      <w:r>
        <w:rPr>
          <w:rFonts w:hint="eastAsia" w:hAnsi="宋体"/>
          <w:color w:val="auto"/>
          <w:highlight w:val="none"/>
        </w:rPr>
        <w:t>政策产品清单及有关证明材料</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（7）报价一览表及报价文件，以及规定格式的电子文件</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（8）供应商认为需提供的其他资料</w:t>
      </w:r>
    </w:p>
    <w:p>
      <w:pPr>
        <w:pStyle w:val="16"/>
        <w:numPr>
          <w:ilvl w:val="-1"/>
          <w:numId w:val="0"/>
        </w:numPr>
        <w:adjustRightInd w:val="0"/>
        <w:snapToGrid w:val="0"/>
        <w:spacing w:line="400" w:lineRule="exact"/>
        <w:ind w:left="0" w:firstLine="420" w:firstLineChars="200"/>
        <w:jc w:val="left"/>
        <w:rPr>
          <w:rFonts w:hint="eastAsia" w:ascii="宋体" w:hAnsi="宋体" w:eastAsia="宋体"/>
          <w:b w:val="0"/>
          <w:color w:val="auto"/>
          <w:sz w:val="21"/>
          <w:szCs w:val="21"/>
          <w:highlight w:val="none"/>
        </w:rPr>
      </w:pPr>
      <w:r>
        <w:rPr>
          <w:rFonts w:hint="eastAsia" w:hAnsi="宋体"/>
          <w:color w:val="auto"/>
          <w:highlight w:val="none"/>
        </w:rPr>
        <w:t>（</w:t>
      </w:r>
      <w:r>
        <w:rPr>
          <w:rFonts w:hint="eastAsia" w:hAnsi="宋体"/>
          <w:color w:val="auto"/>
          <w:highlight w:val="none"/>
          <w:lang w:val="en-US" w:eastAsia="zh-CN"/>
        </w:rPr>
        <w:t>9</w:t>
      </w:r>
      <w:r>
        <w:rPr>
          <w:rFonts w:hint="eastAsia" w:hAnsi="宋体"/>
          <w:color w:val="auto"/>
          <w:highlight w:val="none"/>
        </w:rPr>
        <w:t>）</w:t>
      </w:r>
      <w:r>
        <w:rPr>
          <w:rFonts w:hint="eastAsia" w:ascii="宋体" w:hAnsi="宋体" w:eastAsia="宋体"/>
          <w:b w:val="0"/>
          <w:color w:val="auto"/>
          <w:sz w:val="21"/>
          <w:szCs w:val="21"/>
          <w:highlight w:val="none"/>
        </w:rPr>
        <w:t>代理服务费承诺书</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14.2</w:t>
      </w:r>
      <w:r>
        <w:rPr>
          <w:rFonts w:hint="eastAsia" w:ascii="宋体" w:hAnsi="宋体"/>
          <w:color w:val="auto"/>
          <w:szCs w:val="21"/>
          <w:highlight w:val="none"/>
        </w:rPr>
        <w:t>根据《政府采购法》第四十二条的规定，供应商无论成交与否，其响应文件不予退还。</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15.报价</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15.1供应商应当根据询价通知书要求和范围，以</w:t>
      </w:r>
      <w:r>
        <w:rPr>
          <w:rFonts w:hint="eastAsia" w:ascii="宋体" w:hAnsi="宋体"/>
          <w:bCs/>
          <w:color w:val="auto"/>
          <w:szCs w:val="21"/>
          <w:highlight w:val="none"/>
        </w:rPr>
        <w:t>人民币</w:t>
      </w:r>
      <w:r>
        <w:rPr>
          <w:rFonts w:hint="eastAsia" w:ascii="宋体" w:hAnsi="宋体"/>
          <w:color w:val="auto"/>
          <w:szCs w:val="21"/>
          <w:highlight w:val="none"/>
        </w:rPr>
        <w:t>报价，以元为单位，保留小数点后两位。</w:t>
      </w:r>
    </w:p>
    <w:p>
      <w:pPr>
        <w:pStyle w:val="53"/>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15.2供应商应按第四章“采购需求”要求及第五章“响应文件组成”格式填写。供应商在</w:t>
      </w:r>
      <w:r>
        <w:rPr>
          <w:rFonts w:hint="eastAsia" w:ascii="宋体" w:hAnsi="宋体"/>
          <w:bCs/>
          <w:color w:val="auto"/>
          <w:highlight w:val="none"/>
        </w:rPr>
        <w:t>本章第11.1</w:t>
      </w:r>
      <w:r>
        <w:rPr>
          <w:rFonts w:hint="eastAsia" w:ascii="宋体" w:hAnsi="宋体" w:cs="宋体"/>
          <w:color w:val="auto"/>
          <w:highlight w:val="none"/>
          <w:lang w:val="zh-CN"/>
        </w:rPr>
        <w:t>款</w:t>
      </w:r>
      <w:r>
        <w:rPr>
          <w:rFonts w:hint="eastAsia" w:ascii="宋体" w:hAnsi="宋体"/>
          <w:bCs/>
          <w:color w:val="auto"/>
          <w:highlight w:val="none"/>
        </w:rPr>
        <w:t>规定的</w:t>
      </w:r>
      <w:r>
        <w:rPr>
          <w:rFonts w:hint="eastAsia" w:ascii="宋体" w:hAnsi="宋体" w:cs="宋体"/>
          <w:color w:val="auto"/>
          <w:highlight w:val="none"/>
        </w:rPr>
        <w:t>提交响应文件截止之日前</w:t>
      </w:r>
      <w:r>
        <w:rPr>
          <w:rFonts w:hint="eastAsia" w:ascii="宋体" w:hAnsi="宋体"/>
          <w:color w:val="auto"/>
          <w:highlight w:val="none"/>
        </w:rPr>
        <w:t>修改报价一览表中的报价，应同时修改其按第五章要求填写的相应表格中的报价。此修改须符合本章第21.1款的有关要求。</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15.3响应文件中标明的价格在合同执行过程中是固定不变的，不得以任何理由予以变更。以可变动价格提交的报价将被认为是非实质响应而被拒绝。</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15.4</w:t>
      </w:r>
      <w:r>
        <w:rPr>
          <w:rFonts w:hint="eastAsia" w:hAnsi="宋体" w:cs="宋体"/>
          <w:color w:val="auto"/>
          <w:kern w:val="0"/>
          <w:highlight w:val="none"/>
          <w:lang w:val="zh-CN"/>
        </w:rPr>
        <w:t>供应商</w:t>
      </w:r>
      <w:r>
        <w:rPr>
          <w:rFonts w:hint="eastAsia" w:hAnsi="宋体"/>
          <w:color w:val="auto"/>
          <w:highlight w:val="none"/>
        </w:rPr>
        <w:t>的报价不得超过采购项目预算，采购项目预算或其计算方法见</w:t>
      </w:r>
      <w:r>
        <w:rPr>
          <w:rFonts w:hint="eastAsia" w:hAnsi="宋体"/>
          <w:b/>
          <w:color w:val="auto"/>
          <w:highlight w:val="none"/>
        </w:rPr>
        <w:t>询价须知前附表</w:t>
      </w:r>
      <w:r>
        <w:rPr>
          <w:rFonts w:hint="eastAsia" w:hAnsi="宋体"/>
          <w:color w:val="auto"/>
          <w:highlight w:val="none"/>
        </w:rPr>
        <w:t>。</w:t>
      </w:r>
    </w:p>
    <w:p>
      <w:pPr>
        <w:pStyle w:val="16"/>
        <w:adjustRightInd w:val="0"/>
        <w:snapToGrid w:val="0"/>
        <w:spacing w:line="400" w:lineRule="exact"/>
        <w:rPr>
          <w:rFonts w:hint="eastAsia"/>
          <w:b/>
          <w:color w:val="auto"/>
          <w:highlight w:val="none"/>
        </w:rPr>
      </w:pPr>
      <w:r>
        <w:rPr>
          <w:rFonts w:hint="eastAsia"/>
          <w:b/>
          <w:color w:val="auto"/>
          <w:highlight w:val="none"/>
        </w:rPr>
        <w:t>16.供应商符合询价通知书规定的证明文件</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kern w:val="0"/>
          <w:highlight w:val="none"/>
          <w:lang w:val="zh-CN"/>
        </w:rPr>
        <w:t>16.1</w:t>
      </w:r>
      <w:r>
        <w:rPr>
          <w:rFonts w:hint="eastAsia" w:ascii="宋体" w:hAnsi="宋体"/>
          <w:color w:val="auto"/>
          <w:szCs w:val="21"/>
          <w:highlight w:val="none"/>
        </w:rPr>
        <w:t>在询价</w:t>
      </w:r>
      <w:r>
        <w:rPr>
          <w:rFonts w:hint="eastAsia" w:ascii="宋体" w:hAnsi="宋体"/>
          <w:bCs/>
          <w:color w:val="auto"/>
          <w:szCs w:val="21"/>
          <w:highlight w:val="none"/>
        </w:rPr>
        <w:t>小组确定邀请供应商名单起</w:t>
      </w:r>
      <w:r>
        <w:rPr>
          <w:rFonts w:hint="eastAsia" w:ascii="宋体" w:hAnsi="宋体"/>
          <w:color w:val="auto"/>
          <w:szCs w:val="21"/>
          <w:highlight w:val="none"/>
        </w:rPr>
        <w:t>至</w:t>
      </w:r>
      <w:r>
        <w:rPr>
          <w:rFonts w:hint="eastAsia" w:hAnsi="宋体" w:cs="宋体"/>
          <w:color w:val="auto"/>
          <w:kern w:val="0"/>
          <w:highlight w:val="none"/>
        </w:rPr>
        <w:t>提交响应文件</w:t>
      </w:r>
      <w:r>
        <w:rPr>
          <w:rFonts w:hint="eastAsia" w:ascii="宋体" w:hAnsi="宋体"/>
          <w:color w:val="auto"/>
          <w:szCs w:val="21"/>
          <w:highlight w:val="none"/>
        </w:rPr>
        <w:t>止，供应商资格条件发生重大变化，影响或者可能影响资格条件的，供应商应更新或者补充提供的资格证明材料，以证实其各项条件仍能继续满足本章第3.1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规定的供应商资格条件要求。</w:t>
      </w:r>
    </w:p>
    <w:p>
      <w:pPr>
        <w:adjustRightInd w:val="0"/>
        <w:snapToGrid w:val="0"/>
        <w:spacing w:line="400" w:lineRule="exact"/>
        <w:ind w:firstLine="420" w:firstLineChars="200"/>
        <w:jc w:val="left"/>
        <w:rPr>
          <w:rFonts w:hint="eastAsia" w:ascii="宋体" w:hAnsi="宋体" w:cs="宋体"/>
          <w:color w:val="auto"/>
          <w:kern w:val="0"/>
          <w:szCs w:val="21"/>
          <w:highlight w:val="none"/>
          <w:lang w:val="zh-CN"/>
        </w:rPr>
      </w:pPr>
      <w:r>
        <w:rPr>
          <w:rFonts w:hint="eastAsia" w:ascii="宋体" w:hAnsi="宋体"/>
          <w:color w:val="auto"/>
          <w:szCs w:val="21"/>
          <w:highlight w:val="none"/>
        </w:rPr>
        <w:t>16.2</w:t>
      </w:r>
      <w:r>
        <w:rPr>
          <w:rFonts w:hint="eastAsia" w:ascii="宋体" w:hAnsi="宋体" w:cs="宋体"/>
          <w:color w:val="auto"/>
          <w:kern w:val="0"/>
          <w:highlight w:val="none"/>
          <w:lang w:val="zh-CN"/>
        </w:rPr>
        <w:t>供应商</w:t>
      </w:r>
      <w:r>
        <w:rPr>
          <w:rFonts w:hint="eastAsia" w:ascii="宋体" w:hAnsi="宋体"/>
          <w:color w:val="auto"/>
          <w:highlight w:val="none"/>
        </w:rPr>
        <w:t>为联合体</w:t>
      </w:r>
      <w:r>
        <w:rPr>
          <w:rFonts w:hint="eastAsia" w:hAnsi="宋体"/>
          <w:color w:val="auto"/>
          <w:highlight w:val="none"/>
        </w:rPr>
        <w:t>形式的</w:t>
      </w:r>
      <w:r>
        <w:rPr>
          <w:rFonts w:hint="eastAsia" w:ascii="宋体" w:hAnsi="宋体"/>
          <w:color w:val="auto"/>
          <w:highlight w:val="none"/>
        </w:rPr>
        <w:t>，则应提交联合体各方资格文件、联合体协议，否则将视为非实质响应而被拒绝。</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17.保证金</w:t>
      </w:r>
    </w:p>
    <w:p>
      <w:pPr>
        <w:pStyle w:val="16"/>
        <w:adjustRightInd w:val="0"/>
        <w:snapToGrid w:val="0"/>
        <w:spacing w:line="400" w:lineRule="exact"/>
        <w:ind w:firstLine="420" w:firstLineChars="200"/>
        <w:rPr>
          <w:rFonts w:hint="eastAsia" w:hAnsi="宋体"/>
          <w:bCs/>
          <w:color w:val="auto"/>
          <w:highlight w:val="none"/>
        </w:rPr>
      </w:pPr>
      <w:r>
        <w:rPr>
          <w:rFonts w:hint="eastAsia" w:hAnsi="宋体"/>
          <w:color w:val="auto"/>
          <w:highlight w:val="none"/>
        </w:rPr>
        <w:t>17.1</w:t>
      </w:r>
      <w:r>
        <w:rPr>
          <w:rFonts w:hint="eastAsia" w:hAnsi="宋体"/>
          <w:b/>
          <w:color w:val="auto"/>
          <w:highlight w:val="none"/>
        </w:rPr>
        <w:t>询价须知前附表</w:t>
      </w:r>
      <w:r>
        <w:rPr>
          <w:rFonts w:hint="eastAsia" w:hAnsi="宋体"/>
          <w:color w:val="auto"/>
          <w:highlight w:val="none"/>
        </w:rPr>
        <w:t>规定交纳</w:t>
      </w:r>
      <w:r>
        <w:rPr>
          <w:rFonts w:hint="eastAsia" w:hAnsi="宋体"/>
          <w:bCs/>
          <w:color w:val="auto"/>
          <w:highlight w:val="none"/>
        </w:rPr>
        <w:t>保证金的</w:t>
      </w:r>
      <w:r>
        <w:rPr>
          <w:rFonts w:hint="eastAsia" w:hAnsi="宋体"/>
          <w:color w:val="auto"/>
          <w:highlight w:val="none"/>
        </w:rPr>
        <w:t>，应按</w:t>
      </w:r>
      <w:r>
        <w:rPr>
          <w:rFonts w:hint="eastAsia" w:hAnsi="宋体"/>
          <w:b/>
          <w:color w:val="auto"/>
          <w:highlight w:val="none"/>
        </w:rPr>
        <w:t>询价须知前附表</w:t>
      </w:r>
      <w:r>
        <w:rPr>
          <w:rFonts w:hint="eastAsia" w:hAnsi="宋体"/>
          <w:color w:val="auto"/>
          <w:highlight w:val="none"/>
        </w:rPr>
        <w:t>规定的</w:t>
      </w:r>
      <w:r>
        <w:rPr>
          <w:rFonts w:hint="eastAsia" w:hAnsi="宋体"/>
          <w:bCs/>
          <w:color w:val="auto"/>
          <w:highlight w:val="none"/>
        </w:rPr>
        <w:t>保证金形式交纳，不得以现金方式交纳</w:t>
      </w:r>
      <w:r>
        <w:rPr>
          <w:rFonts w:hint="eastAsia" w:hAnsi="宋体"/>
          <w:color w:val="auto"/>
          <w:highlight w:val="none"/>
        </w:rPr>
        <w:t>，在本章第11.1</w:t>
      </w:r>
      <w:r>
        <w:rPr>
          <w:rFonts w:hint="eastAsia" w:hAnsi="宋体" w:cs="宋体"/>
          <w:color w:val="auto"/>
          <w:kern w:val="0"/>
          <w:highlight w:val="none"/>
          <w:lang w:val="zh-CN"/>
        </w:rPr>
        <w:t>款</w:t>
      </w:r>
      <w:r>
        <w:rPr>
          <w:rFonts w:hint="eastAsia" w:hAnsi="宋体"/>
          <w:color w:val="auto"/>
          <w:highlight w:val="none"/>
        </w:rPr>
        <w:t>规定的</w:t>
      </w:r>
      <w:r>
        <w:rPr>
          <w:rFonts w:hint="eastAsia" w:hAnsi="宋体" w:cs="宋体"/>
          <w:color w:val="auto"/>
          <w:kern w:val="0"/>
          <w:highlight w:val="none"/>
        </w:rPr>
        <w:t>提交响应文件截止时间</w:t>
      </w:r>
      <w:r>
        <w:rPr>
          <w:rFonts w:hint="eastAsia" w:hAnsi="宋体"/>
          <w:color w:val="auto"/>
          <w:highlight w:val="none"/>
        </w:rPr>
        <w:t>前，</w:t>
      </w:r>
      <w:r>
        <w:rPr>
          <w:rFonts w:hint="eastAsia" w:hAnsi="宋体"/>
          <w:bCs/>
          <w:color w:val="auto"/>
          <w:highlight w:val="none"/>
        </w:rPr>
        <w:t>向采购代理机构交纳不超过</w:t>
      </w:r>
      <w:r>
        <w:rPr>
          <w:rFonts w:hint="eastAsia" w:hAnsi="宋体" w:cs="宋体"/>
          <w:color w:val="auto"/>
          <w:kern w:val="0"/>
          <w:highlight w:val="none"/>
          <w:lang w:val="zh-CN"/>
        </w:rPr>
        <w:t>采购项目预算2﹪</w:t>
      </w:r>
      <w:r>
        <w:rPr>
          <w:rFonts w:hint="eastAsia" w:hAnsi="宋体"/>
          <w:bCs/>
          <w:color w:val="auto"/>
          <w:highlight w:val="none"/>
        </w:rPr>
        <w:t>的保证金(数额采用四舍五入，计算至元)</w:t>
      </w:r>
      <w:r>
        <w:rPr>
          <w:rFonts w:hint="eastAsia" w:hAnsi="宋体"/>
          <w:color w:val="auto"/>
          <w:highlight w:val="none"/>
        </w:rPr>
        <w:t>。</w:t>
      </w:r>
      <w:r>
        <w:rPr>
          <w:rFonts w:hint="eastAsia" w:hAnsi="宋体"/>
          <w:bCs/>
          <w:color w:val="auto"/>
          <w:highlight w:val="none"/>
        </w:rPr>
        <w:t>保证金有效期应当与</w:t>
      </w:r>
      <w:r>
        <w:rPr>
          <w:rFonts w:hint="eastAsia" w:hAnsi="宋体"/>
          <w:color w:val="auto"/>
          <w:highlight w:val="none"/>
        </w:rPr>
        <w:t>本章第18.1</w:t>
      </w:r>
      <w:r>
        <w:rPr>
          <w:rFonts w:hint="eastAsia" w:hAnsi="宋体" w:cs="宋体"/>
          <w:color w:val="auto"/>
          <w:kern w:val="0"/>
          <w:highlight w:val="none"/>
          <w:lang w:val="zh-CN"/>
        </w:rPr>
        <w:t>款</w:t>
      </w:r>
      <w:r>
        <w:rPr>
          <w:rFonts w:hint="eastAsia" w:hAnsi="宋体"/>
          <w:color w:val="auto"/>
          <w:highlight w:val="none"/>
        </w:rPr>
        <w:t>规定的</w:t>
      </w:r>
      <w:r>
        <w:rPr>
          <w:rFonts w:hint="eastAsia" w:hAnsi="宋体"/>
          <w:bCs/>
          <w:color w:val="auto"/>
          <w:highlight w:val="none"/>
        </w:rPr>
        <w:t>响应文件有效期一致。</w:t>
      </w:r>
    </w:p>
    <w:p>
      <w:pPr>
        <w:adjustRightInd w:val="0"/>
        <w:snapToGrid w:val="0"/>
        <w:spacing w:line="40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17.2</w:t>
      </w:r>
      <w:r>
        <w:rPr>
          <w:rFonts w:hint="eastAsia" w:ascii="宋体" w:hAnsi="宋体" w:cs="宋体"/>
          <w:color w:val="auto"/>
          <w:kern w:val="0"/>
          <w:szCs w:val="21"/>
          <w:highlight w:val="none"/>
          <w:lang w:val="zh-CN"/>
        </w:rPr>
        <w:t>供应商为联合体的，可以由联合体中的一方或者共同交纳保证金，其交纳的保证金，对联合体各方均具有约束力。</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17.3 未按询价通知书规定提交保证金的，</w:t>
      </w:r>
      <w:r>
        <w:rPr>
          <w:rFonts w:hint="eastAsia" w:hAnsi="宋体"/>
          <w:bCs/>
          <w:color w:val="auto"/>
          <w:highlight w:val="none"/>
        </w:rPr>
        <w:t>采购人或采购代理机构应当拒绝接收供应商的响应文件</w:t>
      </w:r>
      <w:r>
        <w:rPr>
          <w:rFonts w:hint="eastAsia" w:hAnsi="宋体"/>
          <w:color w:val="auto"/>
          <w:highlight w:val="none"/>
        </w:rPr>
        <w:t>。</w:t>
      </w:r>
    </w:p>
    <w:p>
      <w:pPr>
        <w:pStyle w:val="16"/>
        <w:tabs>
          <w:tab w:val="left" w:pos="6300"/>
        </w:tabs>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17.4采购代理机构在成交通知书发出后5个工作日内退还未成交供应商的保证金；在采购合同签定后5个工作日内退还成交供应商的保证金，但因供应商自身原因导致无法及时退还的除外。</w:t>
      </w:r>
    </w:p>
    <w:p>
      <w:pPr>
        <w:pStyle w:val="16"/>
        <w:adjustRightInd w:val="0"/>
        <w:snapToGrid w:val="0"/>
        <w:spacing w:line="400" w:lineRule="exact"/>
        <w:ind w:firstLine="420" w:firstLineChars="200"/>
        <w:rPr>
          <w:rFonts w:hint="eastAsia"/>
          <w:color w:val="auto"/>
          <w:kern w:val="0"/>
          <w:highlight w:val="none"/>
        </w:rPr>
      </w:pPr>
      <w:r>
        <w:rPr>
          <w:rFonts w:hint="eastAsia"/>
          <w:color w:val="auto"/>
          <w:highlight w:val="none"/>
        </w:rPr>
        <w:t xml:space="preserve">17.5 </w:t>
      </w:r>
      <w:r>
        <w:rPr>
          <w:rFonts w:hint="eastAsia"/>
          <w:color w:val="auto"/>
          <w:kern w:val="0"/>
          <w:highlight w:val="none"/>
        </w:rPr>
        <w:t>有下列情形之一的，保证金不予退还，并上缴本级财政国库：</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（1）供应商在</w:t>
      </w:r>
      <w:r>
        <w:rPr>
          <w:rFonts w:hint="eastAsia" w:ascii="宋体" w:hAnsi="宋体"/>
          <w:bCs/>
          <w:color w:val="auto"/>
          <w:szCs w:val="21"/>
          <w:highlight w:val="none"/>
        </w:rPr>
        <w:t>本章第11.1</w:t>
      </w:r>
      <w:r>
        <w:rPr>
          <w:rFonts w:hint="eastAsia" w:ascii="宋体" w:hAnsi="宋体" w:cs="宋体"/>
          <w:color w:val="auto"/>
          <w:kern w:val="0"/>
          <w:szCs w:val="21"/>
          <w:highlight w:val="none"/>
          <w:lang w:val="zh-CN"/>
        </w:rPr>
        <w:t>款</w:t>
      </w:r>
      <w:r>
        <w:rPr>
          <w:rFonts w:hint="eastAsia" w:ascii="宋体" w:hAnsi="宋体"/>
          <w:bCs/>
          <w:color w:val="auto"/>
          <w:szCs w:val="21"/>
          <w:highlight w:val="none"/>
        </w:rPr>
        <w:t>规定的</w:t>
      </w:r>
      <w:r>
        <w:rPr>
          <w:rFonts w:hint="eastAsia" w:ascii="宋体" w:hAnsi="宋体" w:cs="宋体"/>
          <w:color w:val="auto"/>
          <w:kern w:val="0"/>
          <w:szCs w:val="21"/>
          <w:highlight w:val="none"/>
        </w:rPr>
        <w:t>提交响应文件截止时间后撤回响应文件的；</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（2）供应商在响应文件中提供虚假材料的；</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（3）除因不可抗力或询价通知书认可的情形以外，成交供应商不与采购人签订合同的；</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（4）供应商与采购人、其他供应商或者采购代理机构恶意串通的；</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（5）询价通知书规定的其他情形。</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18.</w:t>
      </w:r>
      <w:r>
        <w:rPr>
          <w:rFonts w:hint="eastAsia" w:ascii="宋体" w:hAnsi="宋体"/>
          <w:color w:val="auto"/>
          <w:szCs w:val="21"/>
          <w:highlight w:val="none"/>
        </w:rPr>
        <w:t xml:space="preserve"> </w:t>
      </w:r>
      <w:r>
        <w:rPr>
          <w:rFonts w:hint="eastAsia" w:hAnsi="宋体"/>
          <w:b/>
          <w:color w:val="auto"/>
          <w:highlight w:val="none"/>
        </w:rPr>
        <w:t>响应文件</w:t>
      </w:r>
      <w:r>
        <w:rPr>
          <w:rFonts w:hint="eastAsia" w:ascii="宋体" w:hAnsi="宋体"/>
          <w:b/>
          <w:color w:val="auto"/>
          <w:szCs w:val="21"/>
          <w:highlight w:val="none"/>
        </w:rPr>
        <w:t>有效期</w:t>
      </w:r>
    </w:p>
    <w:p>
      <w:pPr>
        <w:adjustRightInd w:val="0"/>
        <w:snapToGrid w:val="0"/>
        <w:spacing w:line="400" w:lineRule="exact"/>
        <w:ind w:firstLine="420" w:firstLineChars="200"/>
        <w:jc w:val="left"/>
        <w:rPr>
          <w:rFonts w:hint="eastAsia" w:hAnsi="宋体"/>
          <w:color w:val="auto"/>
          <w:highlight w:val="none"/>
        </w:rPr>
      </w:pPr>
      <w:r>
        <w:rPr>
          <w:rFonts w:hint="eastAsia" w:ascii="宋体" w:hAnsi="宋体"/>
          <w:color w:val="auto"/>
          <w:highlight w:val="none"/>
        </w:rPr>
        <w:t>18.1响应文件</w:t>
      </w:r>
      <w:r>
        <w:rPr>
          <w:rFonts w:hint="eastAsia" w:ascii="宋体" w:hAnsi="宋体"/>
          <w:color w:val="auto"/>
          <w:szCs w:val="21"/>
          <w:highlight w:val="none"/>
        </w:rPr>
        <w:t>有效期见</w:t>
      </w:r>
      <w:r>
        <w:rPr>
          <w:rFonts w:hint="eastAsia" w:ascii="宋体" w:hAnsi="宋体"/>
          <w:b/>
          <w:color w:val="auto"/>
          <w:highlight w:val="none"/>
        </w:rPr>
        <w:t>询价须知前附表</w:t>
      </w:r>
      <w:r>
        <w:rPr>
          <w:rFonts w:hint="eastAsia" w:ascii="宋体" w:hAnsi="宋体"/>
          <w:color w:val="auto"/>
          <w:szCs w:val="21"/>
          <w:highlight w:val="none"/>
        </w:rPr>
        <w:t>，在此期间</w:t>
      </w:r>
      <w:r>
        <w:rPr>
          <w:rFonts w:hint="eastAsia" w:ascii="宋体" w:hAnsi="宋体"/>
          <w:color w:val="auto"/>
          <w:highlight w:val="none"/>
        </w:rPr>
        <w:t>响应</w:t>
      </w:r>
      <w:r>
        <w:rPr>
          <w:rFonts w:hint="eastAsia" w:ascii="宋体" w:hAnsi="宋体"/>
          <w:color w:val="auto"/>
          <w:szCs w:val="21"/>
          <w:highlight w:val="none"/>
        </w:rPr>
        <w:t>文件对供应商具有法律约束力，</w:t>
      </w:r>
      <w:r>
        <w:rPr>
          <w:rFonts w:hint="eastAsia" w:ascii="宋体" w:hAnsi="宋体" w:cs="Arial"/>
          <w:color w:val="auto"/>
          <w:highlight w:val="none"/>
        </w:rPr>
        <w:t>从</w:t>
      </w:r>
      <w:r>
        <w:rPr>
          <w:rFonts w:hint="eastAsia" w:ascii="宋体" w:hAnsi="宋体"/>
          <w:color w:val="auto"/>
          <w:highlight w:val="none"/>
        </w:rPr>
        <w:t>本章第11.1</w:t>
      </w:r>
      <w:r>
        <w:rPr>
          <w:rFonts w:hint="eastAsia" w:ascii="宋体" w:hAnsi="宋体" w:cs="宋体"/>
          <w:color w:val="auto"/>
          <w:kern w:val="0"/>
          <w:szCs w:val="21"/>
          <w:highlight w:val="none"/>
          <w:lang w:val="zh-CN"/>
        </w:rPr>
        <w:t>款</w:t>
      </w:r>
      <w:r>
        <w:rPr>
          <w:rFonts w:hint="eastAsia" w:hAnsi="宋体"/>
          <w:color w:val="auto"/>
          <w:highlight w:val="none"/>
        </w:rPr>
        <w:t>规定的</w:t>
      </w:r>
      <w:r>
        <w:rPr>
          <w:rFonts w:hint="eastAsia" w:ascii="宋体" w:hAnsi="宋体" w:cs="宋体"/>
          <w:color w:val="auto"/>
          <w:kern w:val="0"/>
          <w:szCs w:val="21"/>
          <w:highlight w:val="none"/>
        </w:rPr>
        <w:t>提交响应文件截止时间</w:t>
      </w:r>
      <w:r>
        <w:rPr>
          <w:rFonts w:hint="eastAsia" w:hAnsi="宋体"/>
          <w:color w:val="auto"/>
          <w:highlight w:val="none"/>
        </w:rPr>
        <w:t>之日</w:t>
      </w:r>
      <w:r>
        <w:rPr>
          <w:rFonts w:hint="eastAsia" w:hAnsi="宋体" w:cs="Arial"/>
          <w:color w:val="auto"/>
          <w:highlight w:val="none"/>
        </w:rPr>
        <w:t>起计算。</w:t>
      </w:r>
      <w:r>
        <w:rPr>
          <w:rFonts w:hint="eastAsia" w:hAnsi="宋体"/>
          <w:color w:val="auto"/>
          <w:highlight w:val="none"/>
        </w:rPr>
        <w:t>响应文件有效期不足的将被视为无效响应。</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19.响应文件的签署及规定</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19.1响应文件的正本和副本应装订成册，正本一份，副本份数见</w:t>
      </w:r>
      <w:r>
        <w:rPr>
          <w:rFonts w:hint="eastAsia" w:hAnsi="宋体"/>
          <w:b/>
          <w:color w:val="auto"/>
          <w:highlight w:val="none"/>
        </w:rPr>
        <w:t>询价须知前附表</w:t>
      </w:r>
      <w:r>
        <w:rPr>
          <w:rFonts w:hint="eastAsia" w:hAnsi="宋体"/>
          <w:color w:val="auto"/>
          <w:highlight w:val="none"/>
        </w:rPr>
        <w:t>。正本和副本的封面上应标记“正本”或“副本”的字样，当正本和副本有差异时，以正本为准。</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19.2 响应文件正本和副本应按询价通知书要求签章处盖单位章和由法定代表人或其委托代理人签字；任何加行、涂改、增删，应有法定代表人或其委托代理人在旁边签字。否则，将导致响应文件无效。</w:t>
      </w:r>
    </w:p>
    <w:p>
      <w:pPr>
        <w:adjustRightInd w:val="0"/>
        <w:snapToGrid w:val="0"/>
        <w:spacing w:line="400" w:lineRule="exact"/>
        <w:rPr>
          <w:rFonts w:hint="eastAsia" w:ascii="黑体" w:hAnsi="宋体" w:eastAsia="黑体"/>
          <w:b/>
          <w:color w:val="auto"/>
          <w:sz w:val="24"/>
          <w:highlight w:val="none"/>
        </w:rPr>
      </w:pPr>
      <w:r>
        <w:rPr>
          <w:rFonts w:hint="eastAsia" w:ascii="黑体" w:hAnsi="宋体" w:eastAsia="黑体"/>
          <w:b/>
          <w:color w:val="auto"/>
          <w:sz w:val="24"/>
          <w:highlight w:val="none"/>
        </w:rPr>
        <w:t>四、响应文件的递交</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20.</w:t>
      </w:r>
      <w:r>
        <w:rPr>
          <w:rFonts w:hint="eastAsia" w:ascii="宋体" w:hAnsi="宋体"/>
          <w:b/>
          <w:color w:val="auto"/>
          <w:szCs w:val="21"/>
          <w:highlight w:val="none"/>
        </w:rPr>
        <w:t>响应文件</w:t>
      </w:r>
      <w:r>
        <w:rPr>
          <w:rFonts w:hint="eastAsia" w:ascii="宋体" w:hAnsi="宋体"/>
          <w:b/>
          <w:bCs/>
          <w:color w:val="auto"/>
          <w:szCs w:val="21"/>
          <w:highlight w:val="none"/>
        </w:rPr>
        <w:t>的密封和标记</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20.1响应文件应密封包装，加贴封条，并在封套的封口处（封套两端折叠封口处）盖供应商单位章或者由法定代表人或其委托代理人签字。</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20.2响应文件封套上应写明的内容见</w:t>
      </w:r>
      <w:r>
        <w:rPr>
          <w:rFonts w:hint="eastAsia" w:ascii="宋体" w:hAnsi="宋体"/>
          <w:b/>
          <w:color w:val="auto"/>
          <w:szCs w:val="21"/>
          <w:highlight w:val="none"/>
        </w:rPr>
        <w:t>询价须知前附表。</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20.3响应文件如果未按上述规定密封和加写标记，采购人或采购代理机构将拒绝接收。</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21.响应文件的</w:t>
      </w:r>
      <w:r>
        <w:rPr>
          <w:rFonts w:hint="eastAsia" w:ascii="宋体" w:hAnsi="宋体" w:cs="宋体"/>
          <w:b/>
          <w:color w:val="auto"/>
          <w:kern w:val="0"/>
          <w:szCs w:val="21"/>
          <w:highlight w:val="none"/>
          <w:lang w:val="zh-CN"/>
        </w:rPr>
        <w:t>补充、修改或者撤回</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21.1</w:t>
      </w:r>
      <w:r>
        <w:rPr>
          <w:rFonts w:hint="eastAsia" w:hAnsi="宋体" w:cs="宋体"/>
          <w:color w:val="auto"/>
          <w:kern w:val="0"/>
          <w:highlight w:val="none"/>
        </w:rPr>
        <w:t>供应商在</w:t>
      </w:r>
      <w:r>
        <w:rPr>
          <w:rFonts w:hint="eastAsia" w:hAnsi="宋体"/>
          <w:color w:val="auto"/>
          <w:highlight w:val="none"/>
        </w:rPr>
        <w:t>本章第11.1</w:t>
      </w:r>
      <w:r>
        <w:rPr>
          <w:rFonts w:hint="eastAsia" w:hAnsi="宋体" w:cs="宋体"/>
          <w:color w:val="auto"/>
          <w:kern w:val="0"/>
          <w:highlight w:val="none"/>
          <w:lang w:val="zh-CN"/>
        </w:rPr>
        <w:t>款</w:t>
      </w:r>
      <w:r>
        <w:rPr>
          <w:rFonts w:hint="eastAsia" w:hAnsi="宋体"/>
          <w:color w:val="auto"/>
          <w:highlight w:val="none"/>
        </w:rPr>
        <w:t>规定的</w:t>
      </w:r>
      <w:r>
        <w:rPr>
          <w:rFonts w:hint="eastAsia" w:hAnsi="宋体" w:cs="宋体"/>
          <w:color w:val="auto"/>
          <w:kern w:val="0"/>
          <w:highlight w:val="none"/>
        </w:rPr>
        <w:t>提交响应文件截止时间前，可以对所提交的响应文件进行补充、修改或者撤回，并书面通知采购人、采购代理机构。</w:t>
      </w:r>
      <w:r>
        <w:rPr>
          <w:rFonts w:hint="eastAsia" w:hAnsi="宋体"/>
          <w:color w:val="auto"/>
          <w:highlight w:val="none"/>
        </w:rPr>
        <w:t>该通知应有供应商法定代表人或其委托代理人签字。</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21.2</w:t>
      </w:r>
      <w:r>
        <w:rPr>
          <w:rFonts w:hint="eastAsia" w:hAnsi="宋体" w:cs="宋体"/>
          <w:color w:val="auto"/>
          <w:kern w:val="0"/>
          <w:highlight w:val="none"/>
          <w:lang w:val="zh-CN"/>
        </w:rPr>
        <w:t>补充、修改的内容与响应文件不一致时，以补充、修改的内容为准。</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22.响应文件的递交与接收</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22.1 供应商应在</w:t>
      </w:r>
      <w:r>
        <w:rPr>
          <w:rFonts w:hint="eastAsia" w:hAnsi="宋体"/>
          <w:color w:val="auto"/>
          <w:highlight w:val="none"/>
        </w:rPr>
        <w:t>本章第</w:t>
      </w:r>
      <w:r>
        <w:rPr>
          <w:rFonts w:hint="eastAsia" w:ascii="宋体" w:hAnsi="宋体"/>
          <w:color w:val="auto"/>
          <w:highlight w:val="none"/>
        </w:rPr>
        <w:t>11.1</w:t>
      </w:r>
      <w:r>
        <w:rPr>
          <w:rFonts w:hint="eastAsia" w:ascii="宋体" w:hAnsi="宋体" w:cs="宋体"/>
          <w:color w:val="auto"/>
          <w:kern w:val="0"/>
          <w:szCs w:val="21"/>
          <w:highlight w:val="none"/>
          <w:lang w:val="zh-CN"/>
        </w:rPr>
        <w:t>款</w:t>
      </w:r>
      <w:r>
        <w:rPr>
          <w:rFonts w:hint="eastAsia" w:hAnsi="宋体"/>
          <w:color w:val="auto"/>
          <w:highlight w:val="none"/>
        </w:rPr>
        <w:t>规定的</w:t>
      </w:r>
      <w:r>
        <w:rPr>
          <w:rFonts w:hint="eastAsia" w:ascii="宋体" w:hAnsi="宋体" w:cs="宋体"/>
          <w:color w:val="auto"/>
          <w:kern w:val="0"/>
          <w:szCs w:val="21"/>
          <w:highlight w:val="none"/>
        </w:rPr>
        <w:t>提交响应文件截止时间</w:t>
      </w:r>
      <w:r>
        <w:rPr>
          <w:rFonts w:hint="eastAsia" w:ascii="宋体" w:hAnsi="宋体"/>
          <w:color w:val="auto"/>
          <w:szCs w:val="21"/>
          <w:highlight w:val="none"/>
        </w:rPr>
        <w:t>前，将响应文件送</w:t>
      </w:r>
      <w:r>
        <w:rPr>
          <w:rFonts w:hint="eastAsia" w:ascii="宋体" w:hAnsi="宋体" w:cs="Arial"/>
          <w:color w:val="auto"/>
          <w:szCs w:val="21"/>
          <w:highlight w:val="none"/>
        </w:rPr>
        <w:t>达</w:t>
      </w:r>
      <w:r>
        <w:rPr>
          <w:rFonts w:hint="eastAsia" w:ascii="宋体" w:hAnsi="宋体"/>
          <w:b/>
          <w:color w:val="auto"/>
          <w:szCs w:val="21"/>
          <w:highlight w:val="none"/>
        </w:rPr>
        <w:t>询价须知前附表</w:t>
      </w:r>
      <w:r>
        <w:rPr>
          <w:rFonts w:hint="eastAsia" w:ascii="宋体" w:hAnsi="宋体"/>
          <w:color w:val="auto"/>
          <w:szCs w:val="21"/>
          <w:highlight w:val="none"/>
        </w:rPr>
        <w:t>中指定的地点。</w:t>
      </w:r>
      <w:r>
        <w:rPr>
          <w:rFonts w:hint="eastAsia" w:hAnsi="宋体" w:cs="宋体"/>
          <w:color w:val="auto"/>
          <w:kern w:val="0"/>
          <w:highlight w:val="none"/>
        </w:rPr>
        <w:t>在截止时间后送达的响应文件，采购人、采购代理机构或者询价小组应当拒收。</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22.2</w:t>
      </w:r>
      <w:r>
        <w:rPr>
          <w:rFonts w:hint="eastAsia" w:hAnsi="宋体" w:cs="宋体"/>
          <w:color w:val="auto"/>
          <w:kern w:val="0"/>
          <w:highlight w:val="none"/>
        </w:rPr>
        <w:t>在</w:t>
      </w:r>
      <w:r>
        <w:rPr>
          <w:rFonts w:hint="eastAsia" w:hAnsi="宋体"/>
          <w:color w:val="auto"/>
          <w:highlight w:val="none"/>
        </w:rPr>
        <w:t>本章第11.1</w:t>
      </w:r>
      <w:r>
        <w:rPr>
          <w:rFonts w:hint="eastAsia" w:hAnsi="宋体" w:cs="宋体"/>
          <w:color w:val="auto"/>
          <w:kern w:val="0"/>
          <w:highlight w:val="none"/>
          <w:lang w:val="zh-CN"/>
        </w:rPr>
        <w:t>款</w:t>
      </w:r>
      <w:r>
        <w:rPr>
          <w:rFonts w:hint="eastAsia" w:hAnsi="宋体"/>
          <w:color w:val="auto"/>
          <w:highlight w:val="none"/>
        </w:rPr>
        <w:t>规定的</w:t>
      </w:r>
      <w:r>
        <w:rPr>
          <w:rFonts w:hint="eastAsia" w:hAnsi="宋体" w:cs="宋体"/>
          <w:color w:val="auto"/>
          <w:kern w:val="0"/>
          <w:highlight w:val="none"/>
        </w:rPr>
        <w:t>提交响应文件截止时间后，</w:t>
      </w:r>
      <w:r>
        <w:rPr>
          <w:rFonts w:hint="eastAsia" w:hAnsi="宋体"/>
          <w:color w:val="auto"/>
          <w:highlight w:val="none"/>
        </w:rPr>
        <w:t>由</w:t>
      </w:r>
      <w:r>
        <w:rPr>
          <w:rFonts w:hint="eastAsia" w:hAnsi="宋体"/>
          <w:bCs/>
          <w:color w:val="auto"/>
          <w:highlight w:val="none"/>
        </w:rPr>
        <w:t>供应商代表</w:t>
      </w:r>
      <w:r>
        <w:rPr>
          <w:rFonts w:hint="eastAsia" w:hAnsi="宋体"/>
          <w:color w:val="auto"/>
          <w:highlight w:val="none"/>
        </w:rPr>
        <w:t>当场查验</w:t>
      </w:r>
      <w:r>
        <w:rPr>
          <w:rFonts w:hint="eastAsia" w:hAnsi="宋体"/>
          <w:bCs/>
          <w:color w:val="auto"/>
          <w:highlight w:val="none"/>
        </w:rPr>
        <w:t>响应文件</w:t>
      </w:r>
      <w:r>
        <w:rPr>
          <w:rFonts w:hint="eastAsia" w:hAnsi="宋体"/>
          <w:color w:val="auto"/>
          <w:highlight w:val="none"/>
        </w:rPr>
        <w:t>的密封状况，采购人或</w:t>
      </w:r>
      <w:r>
        <w:rPr>
          <w:rFonts w:hint="eastAsia" w:hAnsi="宋体"/>
          <w:bCs/>
          <w:color w:val="auto"/>
          <w:highlight w:val="none"/>
        </w:rPr>
        <w:t>采购代理机构</w:t>
      </w:r>
      <w:r>
        <w:rPr>
          <w:rFonts w:hint="eastAsia" w:hAnsi="宋体"/>
          <w:color w:val="auto"/>
          <w:highlight w:val="none"/>
        </w:rPr>
        <w:t>当场拆封</w:t>
      </w:r>
      <w:r>
        <w:rPr>
          <w:rFonts w:hint="eastAsia" w:hAnsi="宋体"/>
          <w:bCs/>
          <w:color w:val="auto"/>
          <w:highlight w:val="none"/>
        </w:rPr>
        <w:t>响应文件</w:t>
      </w:r>
      <w:r>
        <w:rPr>
          <w:rFonts w:hint="eastAsia" w:hAnsi="宋体"/>
          <w:color w:val="auto"/>
          <w:highlight w:val="none"/>
        </w:rPr>
        <w:t>。</w:t>
      </w:r>
    </w:p>
    <w:p>
      <w:pPr>
        <w:adjustRightInd w:val="0"/>
        <w:snapToGrid w:val="0"/>
        <w:spacing w:line="400" w:lineRule="exact"/>
        <w:ind w:left="723" w:hanging="723" w:hangingChars="300"/>
        <w:rPr>
          <w:rFonts w:hint="eastAsia" w:ascii="黑体" w:hAnsi="宋体" w:eastAsia="黑体"/>
          <w:b/>
          <w:bCs/>
          <w:color w:val="auto"/>
          <w:sz w:val="24"/>
          <w:highlight w:val="none"/>
        </w:rPr>
      </w:pPr>
      <w:r>
        <w:rPr>
          <w:rFonts w:hint="eastAsia" w:ascii="黑体" w:hAnsi="宋体" w:eastAsia="黑体"/>
          <w:b/>
          <w:bCs/>
          <w:color w:val="auto"/>
          <w:sz w:val="24"/>
          <w:highlight w:val="none"/>
        </w:rPr>
        <w:t>五、响应文件的</w:t>
      </w:r>
      <w:r>
        <w:rPr>
          <w:rFonts w:hint="eastAsia" w:ascii="黑体" w:hAnsi="宋体" w:eastAsia="黑体"/>
          <w:b/>
          <w:color w:val="auto"/>
          <w:sz w:val="24"/>
          <w:highlight w:val="none"/>
        </w:rPr>
        <w:t>评审与询价</w:t>
      </w:r>
    </w:p>
    <w:p>
      <w:pPr>
        <w:tabs>
          <w:tab w:val="left" w:pos="0"/>
        </w:tabs>
        <w:adjustRightInd w:val="0"/>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23.供应商资格审查</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23.1供应商有本章</w:t>
      </w:r>
      <w:r>
        <w:rPr>
          <w:rFonts w:hint="eastAsia" w:ascii="宋体" w:hAnsi="宋体"/>
          <w:color w:val="auto"/>
          <w:highlight w:val="none"/>
        </w:rPr>
        <w:t>第16.1</w:t>
      </w:r>
      <w:r>
        <w:rPr>
          <w:rFonts w:hint="eastAsia" w:ascii="宋体" w:hAnsi="宋体" w:cs="宋体"/>
          <w:color w:val="auto"/>
          <w:kern w:val="0"/>
          <w:szCs w:val="21"/>
          <w:highlight w:val="none"/>
          <w:lang w:val="zh-CN"/>
        </w:rPr>
        <w:t>款</w:t>
      </w:r>
      <w:r>
        <w:rPr>
          <w:rFonts w:hint="eastAsia" w:ascii="宋体" w:hAnsi="宋体"/>
          <w:color w:val="auto"/>
          <w:highlight w:val="none"/>
        </w:rPr>
        <w:t>情形的，</w:t>
      </w:r>
      <w:r>
        <w:rPr>
          <w:rFonts w:hint="eastAsia" w:ascii="宋体" w:hAnsi="宋体"/>
          <w:color w:val="auto"/>
          <w:szCs w:val="21"/>
          <w:highlight w:val="none"/>
        </w:rPr>
        <w:t>询价</w:t>
      </w:r>
      <w:r>
        <w:rPr>
          <w:rFonts w:hint="eastAsia" w:ascii="宋体" w:hAnsi="宋体"/>
          <w:bCs/>
          <w:color w:val="auto"/>
          <w:szCs w:val="21"/>
          <w:highlight w:val="none"/>
        </w:rPr>
        <w:t>小组将</w:t>
      </w:r>
      <w:r>
        <w:rPr>
          <w:rFonts w:hint="eastAsia" w:ascii="宋体" w:hAnsi="宋体"/>
          <w:color w:val="auto"/>
          <w:szCs w:val="21"/>
          <w:highlight w:val="none"/>
        </w:rPr>
        <w:t>根据本章第3.1</w:t>
      </w:r>
      <w:r>
        <w:rPr>
          <w:rFonts w:hint="eastAsia" w:ascii="宋体" w:hAnsi="宋体" w:cs="宋体"/>
          <w:color w:val="auto"/>
          <w:kern w:val="0"/>
          <w:szCs w:val="21"/>
          <w:highlight w:val="none"/>
          <w:lang w:val="zh-CN"/>
        </w:rPr>
        <w:t>款</w:t>
      </w:r>
      <w:r>
        <w:rPr>
          <w:rFonts w:hint="eastAsia" w:ascii="宋体" w:hAnsi="宋体"/>
          <w:color w:val="auto"/>
          <w:szCs w:val="21"/>
          <w:highlight w:val="none"/>
        </w:rPr>
        <w:t>规定的供应商资格条件要求，对更新或补充提供的资格证明材料进行审查。不满足资格条件的，视为无效响应。</w:t>
      </w:r>
    </w:p>
    <w:p>
      <w:pPr>
        <w:adjustRightInd w:val="0"/>
        <w:snapToGrid w:val="0"/>
        <w:spacing w:line="400" w:lineRule="exact"/>
        <w:ind w:firstLine="420" w:firstLineChars="200"/>
        <w:jc w:val="left"/>
        <w:rPr>
          <w:rFonts w:hint="eastAsia" w:ascii="宋体" w:hAnsi="宋体" w:cs="宋体"/>
          <w:color w:val="auto"/>
          <w:kern w:val="0"/>
          <w:szCs w:val="21"/>
          <w:highlight w:val="none"/>
          <w:lang w:val="zh-CN"/>
        </w:rPr>
      </w:pPr>
      <w:r>
        <w:rPr>
          <w:rFonts w:hint="eastAsia" w:ascii="宋体" w:hAnsi="宋体"/>
          <w:color w:val="auto"/>
          <w:szCs w:val="21"/>
          <w:highlight w:val="none"/>
        </w:rPr>
        <w:t>23.2供应商</w:t>
      </w:r>
      <w:r>
        <w:rPr>
          <w:rFonts w:hint="eastAsia" w:ascii="宋体" w:hAnsi="宋体" w:cs="宋体"/>
          <w:color w:val="auto"/>
          <w:kern w:val="0"/>
          <w:szCs w:val="21"/>
          <w:highlight w:val="none"/>
          <w:lang w:val="zh-CN"/>
        </w:rPr>
        <w:t>为联合体的，</w:t>
      </w:r>
      <w:r>
        <w:rPr>
          <w:rFonts w:hint="eastAsia" w:ascii="宋体" w:hAnsi="宋体"/>
          <w:color w:val="auto"/>
          <w:szCs w:val="21"/>
          <w:highlight w:val="none"/>
        </w:rPr>
        <w:t>询价</w:t>
      </w:r>
      <w:r>
        <w:rPr>
          <w:rFonts w:hint="eastAsia" w:ascii="宋体" w:hAnsi="宋体"/>
          <w:bCs/>
          <w:color w:val="auto"/>
          <w:szCs w:val="21"/>
          <w:highlight w:val="none"/>
        </w:rPr>
        <w:t>小组将</w:t>
      </w:r>
      <w:r>
        <w:rPr>
          <w:rFonts w:hint="eastAsia" w:ascii="宋体" w:hAnsi="宋体"/>
          <w:color w:val="auto"/>
          <w:szCs w:val="21"/>
          <w:highlight w:val="none"/>
        </w:rPr>
        <w:t>根据本章第6.2</w:t>
      </w:r>
      <w:r>
        <w:rPr>
          <w:rFonts w:hint="eastAsia" w:ascii="宋体" w:hAnsi="宋体" w:cs="宋体"/>
          <w:color w:val="auto"/>
          <w:kern w:val="0"/>
          <w:szCs w:val="21"/>
          <w:highlight w:val="none"/>
          <w:lang w:val="zh-CN"/>
        </w:rPr>
        <w:t>款</w:t>
      </w:r>
      <w:r>
        <w:rPr>
          <w:rFonts w:hint="eastAsia" w:ascii="宋体" w:hAnsi="宋体"/>
          <w:color w:val="auto"/>
          <w:szCs w:val="21"/>
          <w:highlight w:val="none"/>
        </w:rPr>
        <w:t>的规定对</w:t>
      </w:r>
      <w:r>
        <w:rPr>
          <w:rFonts w:hint="eastAsia" w:ascii="宋体" w:hAnsi="宋体"/>
          <w:color w:val="auto"/>
          <w:highlight w:val="none"/>
        </w:rPr>
        <w:t>联合体各方资格文件、联合体协议</w:t>
      </w:r>
      <w:r>
        <w:rPr>
          <w:rFonts w:hint="eastAsia" w:ascii="宋体" w:hAnsi="宋体"/>
          <w:color w:val="auto"/>
          <w:szCs w:val="21"/>
          <w:highlight w:val="none"/>
        </w:rPr>
        <w:t>进行审查</w:t>
      </w:r>
      <w:r>
        <w:rPr>
          <w:rFonts w:hint="eastAsia" w:ascii="宋体" w:hAnsi="宋体"/>
          <w:color w:val="auto"/>
          <w:highlight w:val="none"/>
        </w:rPr>
        <w:t>，</w:t>
      </w:r>
      <w:r>
        <w:rPr>
          <w:rFonts w:hint="eastAsia" w:ascii="宋体" w:hAnsi="宋体"/>
          <w:color w:val="auto"/>
          <w:szCs w:val="21"/>
          <w:highlight w:val="none"/>
        </w:rPr>
        <w:t>不满足资格条件的，视为无效响应。</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23.3除本章</w:t>
      </w:r>
      <w:r>
        <w:rPr>
          <w:rFonts w:hint="eastAsia" w:ascii="宋体" w:hAnsi="宋体"/>
          <w:color w:val="auto"/>
          <w:highlight w:val="none"/>
        </w:rPr>
        <w:t>第16.1</w:t>
      </w:r>
      <w:r>
        <w:rPr>
          <w:rFonts w:hint="eastAsia" w:ascii="宋体" w:hAnsi="宋体" w:cs="宋体"/>
          <w:color w:val="auto"/>
          <w:kern w:val="0"/>
          <w:szCs w:val="21"/>
          <w:highlight w:val="none"/>
          <w:lang w:val="zh-CN"/>
        </w:rPr>
        <w:t>款、</w:t>
      </w:r>
      <w:r>
        <w:rPr>
          <w:rFonts w:hint="eastAsia" w:ascii="宋体" w:hAnsi="宋体"/>
          <w:color w:val="auto"/>
          <w:highlight w:val="none"/>
        </w:rPr>
        <w:t>第16.2</w:t>
      </w:r>
      <w:r>
        <w:rPr>
          <w:rFonts w:hint="eastAsia" w:ascii="宋体" w:hAnsi="宋体" w:cs="宋体"/>
          <w:color w:val="auto"/>
          <w:kern w:val="0"/>
          <w:szCs w:val="21"/>
          <w:highlight w:val="none"/>
          <w:lang w:val="zh-CN"/>
        </w:rPr>
        <w:t>款</w:t>
      </w:r>
      <w:r>
        <w:rPr>
          <w:rFonts w:hint="eastAsia" w:ascii="宋体" w:hAnsi="宋体"/>
          <w:color w:val="auto"/>
          <w:highlight w:val="none"/>
        </w:rPr>
        <w:t>情形外，</w:t>
      </w:r>
      <w:r>
        <w:rPr>
          <w:rFonts w:hint="eastAsia" w:hAnsi="宋体"/>
          <w:color w:val="auto"/>
          <w:highlight w:val="none"/>
        </w:rPr>
        <w:t>询价小组不再对供应商进行资格审查。</w:t>
      </w:r>
    </w:p>
    <w:p>
      <w:pPr>
        <w:tabs>
          <w:tab w:val="left" w:pos="0"/>
        </w:tabs>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24.询价程序</w:t>
      </w:r>
    </w:p>
    <w:p>
      <w:pPr>
        <w:widowControl/>
        <w:adjustRightInd w:val="0"/>
        <w:snapToGrid w:val="0"/>
        <w:spacing w:line="400" w:lineRule="exact"/>
        <w:ind w:firstLine="420"/>
        <w:jc w:val="left"/>
        <w:rPr>
          <w:rFonts w:hint="eastAsia" w:ascii="宋体" w:hAnsi="宋体"/>
          <w:bCs/>
          <w:color w:val="auto"/>
          <w:szCs w:val="21"/>
          <w:highlight w:val="none"/>
        </w:rPr>
      </w:pPr>
      <w:r>
        <w:rPr>
          <w:rFonts w:hint="eastAsia" w:ascii="宋体" w:hAnsi="宋体" w:cs="宋体"/>
          <w:color w:val="auto"/>
          <w:kern w:val="0"/>
          <w:szCs w:val="21"/>
          <w:highlight w:val="none"/>
        </w:rPr>
        <w:t>24.1询价程序：初步审查、澄清、符合性审查、</w:t>
      </w:r>
      <w:r>
        <w:rPr>
          <w:rFonts w:hint="eastAsia" w:ascii="宋体" w:hAnsi="宋体"/>
          <w:bCs/>
          <w:color w:val="auto"/>
          <w:szCs w:val="21"/>
          <w:highlight w:val="none"/>
        </w:rPr>
        <w:t>提出成交供应商。</w:t>
      </w:r>
    </w:p>
    <w:p>
      <w:pPr>
        <w:widowControl/>
        <w:adjustRightInd w:val="0"/>
        <w:snapToGrid w:val="0"/>
        <w:spacing w:line="400" w:lineRule="exact"/>
        <w:rPr>
          <w:rFonts w:hint="eastAsia" w:ascii="宋体" w:hAnsi="宋体" w:cs="宋体"/>
          <w:b/>
          <w:color w:val="auto"/>
          <w:kern w:val="0"/>
          <w:szCs w:val="21"/>
          <w:highlight w:val="none"/>
        </w:rPr>
      </w:pPr>
      <w:r>
        <w:rPr>
          <w:rFonts w:hint="eastAsia" w:ascii="宋体" w:hAnsi="宋体" w:cs="宋体"/>
          <w:b/>
          <w:color w:val="auto"/>
          <w:kern w:val="0"/>
          <w:szCs w:val="21"/>
          <w:highlight w:val="none"/>
        </w:rPr>
        <w:t>25.初步审查</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25.1询价小组应当对供应商</w:t>
      </w:r>
      <w:r>
        <w:rPr>
          <w:rFonts w:hint="eastAsia" w:hAnsi="宋体" w:cs="宋体"/>
          <w:color w:val="auto"/>
          <w:kern w:val="0"/>
          <w:highlight w:val="none"/>
        </w:rPr>
        <w:t>提交的响应文件</w:t>
      </w:r>
      <w:r>
        <w:rPr>
          <w:rFonts w:hint="eastAsia" w:ascii="宋体" w:hAnsi="宋体" w:cs="宋体"/>
          <w:color w:val="auto"/>
          <w:kern w:val="0"/>
          <w:szCs w:val="21"/>
          <w:highlight w:val="none"/>
        </w:rPr>
        <w:t>进行初步审查。</w:t>
      </w:r>
      <w:r>
        <w:rPr>
          <w:rFonts w:hint="eastAsia" w:ascii="宋体" w:hAnsi="宋体"/>
          <w:bCs/>
          <w:color w:val="auto"/>
          <w:szCs w:val="21"/>
          <w:highlight w:val="none"/>
        </w:rPr>
        <w:t>响应文件有下列情况之一，</w:t>
      </w:r>
      <w:r>
        <w:rPr>
          <w:rFonts w:hint="eastAsia" w:ascii="宋体" w:hAnsi="宋体" w:cs="宋体"/>
          <w:color w:val="auto"/>
          <w:kern w:val="0"/>
          <w:szCs w:val="21"/>
          <w:highlight w:val="none"/>
          <w:lang w:val="zh-CN"/>
        </w:rPr>
        <w:t>其响应文件无效，</w:t>
      </w:r>
      <w:r>
        <w:rPr>
          <w:rFonts w:hint="eastAsia" w:ascii="宋体" w:hAnsi="宋体" w:cs="宋体"/>
          <w:color w:val="auto"/>
          <w:kern w:val="0"/>
          <w:szCs w:val="21"/>
          <w:highlight w:val="none"/>
        </w:rPr>
        <w:t>询价小组应当告知有关供应商。</w:t>
      </w:r>
    </w:p>
    <w:p>
      <w:pPr>
        <w:adjustRightInd w:val="0"/>
        <w:snapToGrid w:val="0"/>
        <w:spacing w:line="400" w:lineRule="exact"/>
        <w:ind w:firstLine="420" w:firstLineChars="200"/>
        <w:rPr>
          <w:rFonts w:hint="eastAsia" w:ascii="宋体" w:hAnsi="宋体"/>
          <w:bCs/>
          <w:color w:val="auto"/>
          <w:szCs w:val="21"/>
          <w:highlight w:val="none"/>
        </w:rPr>
      </w:pPr>
      <w:r>
        <w:rPr>
          <w:rFonts w:hint="eastAsia" w:ascii="宋体" w:hAnsi="宋体" w:cs="宋体"/>
          <w:color w:val="auto"/>
          <w:kern w:val="0"/>
          <w:szCs w:val="21"/>
          <w:highlight w:val="none"/>
        </w:rPr>
        <w:t>（1）</w:t>
      </w:r>
      <w:r>
        <w:rPr>
          <w:rFonts w:hint="eastAsia" w:ascii="宋体" w:hAnsi="宋体"/>
          <w:color w:val="auto"/>
          <w:szCs w:val="21"/>
          <w:highlight w:val="none"/>
        </w:rPr>
        <w:t>应交未交保证金或</w:t>
      </w:r>
      <w:r>
        <w:rPr>
          <w:rFonts w:hint="eastAsia"/>
          <w:color w:val="auto"/>
          <w:szCs w:val="21"/>
          <w:highlight w:val="none"/>
        </w:rPr>
        <w:t>金额不足、保函有效期不足、保证金形式或保函出证机构不符合询价通知书要求的</w:t>
      </w:r>
      <w:r>
        <w:rPr>
          <w:rFonts w:hint="eastAsia" w:ascii="宋体" w:hAnsi="宋体"/>
          <w:color w:val="auto"/>
          <w:szCs w:val="21"/>
          <w:highlight w:val="none"/>
        </w:rPr>
        <w:t>；</w:t>
      </w:r>
    </w:p>
    <w:p>
      <w:pPr>
        <w:tabs>
          <w:tab w:val="left" w:pos="735"/>
          <w:tab w:val="left" w:pos="7560"/>
          <w:tab w:val="left" w:pos="7740"/>
          <w:tab w:val="left" w:pos="7920"/>
        </w:tabs>
        <w:adjustRightInd w:val="0"/>
        <w:snapToGrid w:val="0"/>
        <w:spacing w:line="400" w:lineRule="exact"/>
        <w:ind w:right="300" w:rightChars="143"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（2）</w:t>
      </w:r>
      <w:r>
        <w:rPr>
          <w:rFonts w:hint="eastAsia" w:ascii="宋体" w:hAnsi="宋体"/>
          <w:color w:val="auto"/>
          <w:szCs w:val="21"/>
          <w:highlight w:val="none"/>
        </w:rPr>
        <w:t>未按照询价通知书规定要求签署、盖章的；</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olor w:val="auto"/>
          <w:szCs w:val="21"/>
          <w:highlight w:val="none"/>
        </w:rPr>
        <w:t>响应</w:t>
      </w:r>
      <w:r>
        <w:rPr>
          <w:rFonts w:hint="eastAsia" w:ascii="宋体" w:hAnsi="宋体" w:cs="宋体"/>
          <w:color w:val="auto"/>
          <w:kern w:val="0"/>
          <w:szCs w:val="21"/>
          <w:highlight w:val="none"/>
        </w:rPr>
        <w:t>文件有效期不足的；</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（4）不符合法律、规章、规范性文件和询价通知书规定的。</w:t>
      </w:r>
    </w:p>
    <w:p>
      <w:pPr>
        <w:pStyle w:val="16"/>
        <w:adjustRightInd w:val="0"/>
        <w:snapToGrid w:val="0"/>
        <w:spacing w:line="400" w:lineRule="exact"/>
        <w:rPr>
          <w:rFonts w:hint="eastAsia" w:hAnsi="宋体" w:cs="宋体"/>
          <w:b/>
          <w:color w:val="auto"/>
          <w:kern w:val="0"/>
          <w:highlight w:val="none"/>
        </w:rPr>
      </w:pPr>
      <w:r>
        <w:rPr>
          <w:rFonts w:hint="eastAsia" w:hAnsi="宋体" w:cs="宋体"/>
          <w:b/>
          <w:color w:val="auto"/>
          <w:kern w:val="0"/>
          <w:highlight w:val="none"/>
        </w:rPr>
        <w:t>26.实质性响应</w:t>
      </w:r>
    </w:p>
    <w:p>
      <w:pPr>
        <w:pStyle w:val="16"/>
        <w:adjustRightInd w:val="0"/>
        <w:snapToGrid w:val="0"/>
        <w:spacing w:line="400" w:lineRule="exact"/>
        <w:ind w:firstLine="420" w:firstLineChars="200"/>
        <w:rPr>
          <w:rFonts w:hint="eastAsia" w:hAnsi="宋体" w:cs="Arial"/>
          <w:color w:val="auto"/>
          <w:kern w:val="0"/>
          <w:highlight w:val="none"/>
          <w:u w:val="single"/>
        </w:rPr>
      </w:pPr>
      <w:r>
        <w:rPr>
          <w:rFonts w:hint="eastAsia" w:hAnsi="宋体" w:cs="宋体"/>
          <w:color w:val="auto"/>
          <w:kern w:val="0"/>
          <w:highlight w:val="none"/>
        </w:rPr>
        <w:t>26.1</w:t>
      </w:r>
      <w:r>
        <w:rPr>
          <w:rFonts w:hint="eastAsia" w:hAnsi="宋体"/>
          <w:color w:val="auto"/>
          <w:highlight w:val="none"/>
        </w:rPr>
        <w:t>实质性响应是指响应文件与询价通知书要求的所有条款、条件和规格相符，没有偏离。偏离</w:t>
      </w:r>
      <w:r>
        <w:rPr>
          <w:rFonts w:hint="eastAsia"/>
          <w:color w:val="auto"/>
          <w:highlight w:val="none"/>
        </w:rPr>
        <w:t>指不满足、或不响应</w:t>
      </w:r>
      <w:r>
        <w:rPr>
          <w:rFonts w:hint="eastAsia" w:hAnsi="宋体"/>
          <w:color w:val="auto"/>
          <w:highlight w:val="none"/>
        </w:rPr>
        <w:t>询价通知书</w:t>
      </w:r>
      <w:r>
        <w:rPr>
          <w:rFonts w:hint="eastAsia"/>
          <w:color w:val="auto"/>
          <w:highlight w:val="none"/>
        </w:rPr>
        <w:t>的要求。</w:t>
      </w:r>
    </w:p>
    <w:p>
      <w:pPr>
        <w:tabs>
          <w:tab w:val="left" w:pos="0"/>
          <w:tab w:val="left" w:pos="7560"/>
          <w:tab w:val="left" w:pos="7740"/>
          <w:tab w:val="left" w:pos="7920"/>
        </w:tabs>
        <w:adjustRightInd w:val="0"/>
        <w:snapToGrid w:val="0"/>
        <w:spacing w:line="400" w:lineRule="exact"/>
        <w:ind w:right="23" w:rightChars="11" w:firstLine="420" w:firstLineChars="200"/>
        <w:rPr>
          <w:rFonts w:hint="eastAsia" w:ascii="宋体" w:hAnsi="宋体"/>
          <w:color w:val="auto"/>
          <w:szCs w:val="21"/>
          <w:highlight w:val="none"/>
        </w:rPr>
      </w:pPr>
      <w:r>
        <w:rPr>
          <w:rFonts w:hint="eastAsia" w:ascii="宋体" w:hAnsi="宋体"/>
          <w:color w:val="auto"/>
          <w:szCs w:val="21"/>
          <w:highlight w:val="none"/>
        </w:rPr>
        <w:t>26.2</w:t>
      </w:r>
      <w:r>
        <w:rPr>
          <w:rFonts w:hint="eastAsia" w:ascii="宋体" w:hAnsi="宋体"/>
          <w:color w:val="auto"/>
          <w:highlight w:val="none"/>
        </w:rPr>
        <w:t>响应文件是否实质性响应询价通知书要求由询价小组依据询价通知书规定认定。</w:t>
      </w:r>
      <w:r>
        <w:rPr>
          <w:rFonts w:hint="eastAsia" w:ascii="宋体" w:hAnsi="宋体" w:cs="宋体"/>
          <w:color w:val="auto"/>
          <w:kern w:val="0"/>
          <w:szCs w:val="21"/>
          <w:highlight w:val="none"/>
        </w:rPr>
        <w:t>询价小组</w:t>
      </w:r>
      <w:r>
        <w:rPr>
          <w:rFonts w:hint="eastAsia" w:ascii="宋体" w:hAnsi="宋体"/>
          <w:color w:val="auto"/>
          <w:szCs w:val="21"/>
          <w:highlight w:val="none"/>
        </w:rPr>
        <w:t>决定</w:t>
      </w:r>
      <w:r>
        <w:rPr>
          <w:rFonts w:hint="eastAsia" w:ascii="宋体" w:hAnsi="宋体"/>
          <w:color w:val="auto"/>
          <w:highlight w:val="none"/>
        </w:rPr>
        <w:t>响应文件</w:t>
      </w:r>
      <w:r>
        <w:rPr>
          <w:rFonts w:hint="eastAsia" w:ascii="宋体" w:hAnsi="宋体"/>
          <w:color w:val="auto"/>
          <w:szCs w:val="21"/>
          <w:highlight w:val="none"/>
        </w:rPr>
        <w:t>的响应性只根据</w:t>
      </w:r>
      <w:r>
        <w:rPr>
          <w:rFonts w:hint="eastAsia" w:ascii="宋体" w:hAnsi="宋体"/>
          <w:color w:val="auto"/>
          <w:highlight w:val="none"/>
        </w:rPr>
        <w:t>响应文件</w:t>
      </w:r>
      <w:r>
        <w:rPr>
          <w:rFonts w:hint="eastAsia" w:ascii="宋体" w:hAnsi="宋体"/>
          <w:color w:val="auto"/>
          <w:szCs w:val="21"/>
          <w:highlight w:val="none"/>
        </w:rPr>
        <w:t>本身的真实无误的内容，而不依据外部的证据。</w:t>
      </w:r>
    </w:p>
    <w:p>
      <w:pPr>
        <w:widowControl/>
        <w:adjustRightInd w:val="0"/>
        <w:snapToGrid w:val="0"/>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27.澄清</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27.1 询价小组在对响应文件的有效性、完整性和对询价通知书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供应商的澄清、说明或者更正不得超出询价通知书的范围或者改变响应文件的实质性内容。</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27.2报价计算错误修正的原则：报价</w:t>
      </w:r>
      <w:r>
        <w:rPr>
          <w:rFonts w:hint="eastAsia" w:ascii="宋体" w:hAnsi="宋体" w:cs="Arial"/>
          <w:color w:val="auto"/>
          <w:kern w:val="0"/>
          <w:szCs w:val="21"/>
          <w:highlight w:val="none"/>
        </w:rPr>
        <w:t>的大写金额和小写金额不一致的，以大写金额为准；总价金额与按分项报价汇总金额不一致的，以分项报价金额计算结果为准；分项报价金额小数点有明显错位的，应以总价为准，并修改分项报价。</w:t>
      </w:r>
    </w:p>
    <w:p>
      <w:pPr>
        <w:widowControl/>
        <w:adjustRightInd w:val="0"/>
        <w:snapToGrid w:val="0"/>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28.符合性审查</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28.1对响应文件的符合性审查。询价小组应当对响应文件进行符合性审查，供应商响应文件有下列情况之一，其响应文件无效，询价小组应当告知有关供应商：</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（1）不满足本章第26.1</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规定的实质性要求的；</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（2）不符合法律、规章、规范性文件和询价通知书规定的。</w:t>
      </w:r>
    </w:p>
    <w:p>
      <w:pPr>
        <w:widowControl/>
        <w:adjustRightInd w:val="0"/>
        <w:snapToGrid w:val="0"/>
        <w:spacing w:line="400" w:lineRule="exact"/>
        <w:jc w:val="left"/>
        <w:rPr>
          <w:rFonts w:hint="eastAsia" w:ascii="宋体" w:hAnsi="宋体"/>
          <w:b/>
          <w:bCs/>
          <w:color w:val="auto"/>
          <w:szCs w:val="21"/>
          <w:highlight w:val="none"/>
        </w:rPr>
      </w:pPr>
      <w:r>
        <w:rPr>
          <w:rFonts w:hint="eastAsia" w:ascii="宋体" w:hAnsi="宋体"/>
          <w:b/>
          <w:bCs/>
          <w:color w:val="auto"/>
          <w:szCs w:val="21"/>
          <w:highlight w:val="none"/>
        </w:rPr>
        <w:t>29</w:t>
      </w:r>
      <w:r>
        <w:rPr>
          <w:rFonts w:hint="eastAsia" w:ascii="宋体" w:hAnsi="宋体" w:cs="宋体"/>
          <w:b/>
          <w:color w:val="auto"/>
          <w:kern w:val="0"/>
          <w:szCs w:val="21"/>
          <w:highlight w:val="none"/>
        </w:rPr>
        <w:t>.</w:t>
      </w:r>
      <w:r>
        <w:rPr>
          <w:rFonts w:hint="eastAsia" w:ascii="宋体" w:hAnsi="宋体"/>
          <w:b/>
          <w:bCs/>
          <w:color w:val="auto"/>
          <w:szCs w:val="21"/>
          <w:highlight w:val="none"/>
        </w:rPr>
        <w:t>提出成交供应商</w:t>
      </w:r>
    </w:p>
    <w:p>
      <w:pPr>
        <w:widowControl/>
        <w:adjustRightInd w:val="0"/>
        <w:snapToGrid w:val="0"/>
        <w:spacing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29.1</w:t>
      </w:r>
      <w:r>
        <w:rPr>
          <w:rFonts w:hint="eastAsia" w:ascii="宋体" w:hAnsi="宋体" w:cs="宋体"/>
          <w:color w:val="auto"/>
          <w:kern w:val="0"/>
          <w:szCs w:val="21"/>
          <w:highlight w:val="none"/>
        </w:rPr>
        <w:t>询价小组应当从质量和服务均能满足询价通知书实质性响应要求的供应商中，按照报价由低到高的顺序提出3名以上成交候选人，并编写评审报告。供应商符合本章第9.1</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第9.2</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关于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政策规定的，报价按本章第9.1</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第9.2</w:t>
      </w:r>
      <w:r>
        <w:rPr>
          <w:rFonts w:hint="eastAsia" w:ascii="宋体" w:hAnsi="宋体" w:cs="宋体"/>
          <w:color w:val="auto"/>
          <w:kern w:val="0"/>
          <w:szCs w:val="21"/>
          <w:highlight w:val="none"/>
          <w:lang w:val="zh-CN"/>
        </w:rPr>
        <w:t>款</w:t>
      </w:r>
      <w:r>
        <w:rPr>
          <w:rFonts w:hint="eastAsia" w:ascii="宋体" w:hAnsi="宋体" w:cs="宋体"/>
          <w:color w:val="auto"/>
          <w:kern w:val="0"/>
          <w:szCs w:val="21"/>
          <w:highlight w:val="none"/>
        </w:rPr>
        <w:t>规定进行价格扣除，并按价格扣除后的报价排序</w:t>
      </w:r>
      <w:r>
        <w:rPr>
          <w:rFonts w:hint="eastAsia" w:ascii="宋体" w:hAnsi="宋体"/>
          <w:bCs/>
          <w:color w:val="auto"/>
          <w:szCs w:val="21"/>
          <w:highlight w:val="none"/>
        </w:rPr>
        <w:t>。</w:t>
      </w:r>
    </w:p>
    <w:p>
      <w:pPr>
        <w:widowControl/>
        <w:adjustRightInd w:val="0"/>
        <w:snapToGrid w:val="0"/>
        <w:spacing w:line="400" w:lineRule="exact"/>
        <w:ind w:firstLine="420" w:firstLineChars="200"/>
        <w:jc w:val="left"/>
        <w:rPr>
          <w:rFonts w:hint="eastAsia"/>
          <w:color w:val="auto"/>
          <w:szCs w:val="21"/>
          <w:highlight w:val="none"/>
        </w:rPr>
      </w:pPr>
      <w:r>
        <w:rPr>
          <w:rFonts w:hint="eastAsia" w:ascii="宋体" w:hAnsi="宋体"/>
          <w:color w:val="auto"/>
          <w:szCs w:val="21"/>
          <w:highlight w:val="none"/>
        </w:rPr>
        <w:t>29.2按本章第29.1</w:t>
      </w:r>
      <w:r>
        <w:rPr>
          <w:rFonts w:hint="eastAsia"/>
          <w:color w:val="auto"/>
          <w:szCs w:val="21"/>
          <w:highlight w:val="none"/>
        </w:rPr>
        <w:t>条按价格扣除后的报价排序</w:t>
      </w:r>
      <w:r>
        <w:rPr>
          <w:color w:val="auto"/>
          <w:szCs w:val="21"/>
          <w:highlight w:val="none"/>
        </w:rPr>
        <w:t>相同的，</w:t>
      </w:r>
      <w:r>
        <w:rPr>
          <w:rFonts w:hint="eastAsia"/>
          <w:color w:val="auto"/>
          <w:szCs w:val="21"/>
          <w:highlight w:val="none"/>
        </w:rPr>
        <w:t>由采购人确定</w:t>
      </w:r>
      <w:r>
        <w:rPr>
          <w:rFonts w:hint="eastAsia" w:ascii="宋体" w:hAnsi="宋体"/>
          <w:bCs/>
          <w:color w:val="auto"/>
          <w:szCs w:val="21"/>
          <w:highlight w:val="none"/>
        </w:rPr>
        <w:t>成交供应商。</w:t>
      </w:r>
    </w:p>
    <w:p>
      <w:pPr>
        <w:tabs>
          <w:tab w:val="left" w:pos="0"/>
        </w:tabs>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30.确定成交供应商</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30.1采购代理机构应当在评审结束后2个工作日内将评审报告送采购人确认。</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30.2采购人应当在收到评审报告后5个工作日内，从评审报告提出的成交候选人中，根据质量和服务均能满足采购文件实质性响应要求且报价最低的原则确定成交供应商，也可以书面授权询价小组直接确定成交供应商。</w:t>
      </w:r>
    </w:p>
    <w:p>
      <w:pPr>
        <w:pStyle w:val="16"/>
        <w:adjustRightInd w:val="0"/>
        <w:snapToGrid w:val="0"/>
        <w:spacing w:line="400" w:lineRule="exact"/>
        <w:ind w:left="632" w:hanging="632" w:hangingChars="300"/>
        <w:rPr>
          <w:rFonts w:hint="eastAsia" w:hAnsi="宋体"/>
          <w:b/>
          <w:color w:val="auto"/>
          <w:highlight w:val="none"/>
        </w:rPr>
      </w:pPr>
      <w:r>
        <w:rPr>
          <w:rFonts w:hint="eastAsia" w:hAnsi="宋体"/>
          <w:b/>
          <w:color w:val="auto"/>
          <w:highlight w:val="none"/>
        </w:rPr>
        <w:t>31.询价终止</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bCs/>
          <w:color w:val="auto"/>
          <w:szCs w:val="21"/>
          <w:highlight w:val="none"/>
        </w:rPr>
        <w:t>31.1</w:t>
      </w:r>
      <w:r>
        <w:rPr>
          <w:rFonts w:hint="eastAsia" w:ascii="宋体" w:hAnsi="宋体" w:cs="宋体"/>
          <w:color w:val="auto"/>
          <w:kern w:val="0"/>
          <w:szCs w:val="21"/>
          <w:highlight w:val="none"/>
        </w:rPr>
        <w:t>出现下列情形之一的，采购人或者采购代理机构应当终止询价采购活动，</w:t>
      </w:r>
      <w:r>
        <w:rPr>
          <w:rFonts w:hint="eastAsia" w:hAnsi="宋体"/>
          <w:color w:val="auto"/>
          <w:highlight w:val="none"/>
        </w:rPr>
        <w:t>在</w:t>
      </w:r>
      <w:r>
        <w:rPr>
          <w:rFonts w:hint="eastAsia" w:ascii="宋体" w:hAnsi="宋体"/>
          <w:color w:val="auto"/>
          <w:szCs w:val="21"/>
          <w:highlight w:val="none"/>
        </w:rPr>
        <w:t>省级以上财政部门</w:t>
      </w:r>
      <w:r>
        <w:rPr>
          <w:rFonts w:hint="eastAsia" w:hAnsi="宋体"/>
          <w:color w:val="auto"/>
          <w:highlight w:val="none"/>
        </w:rPr>
        <w:t>指定的媒体上</w:t>
      </w:r>
      <w:r>
        <w:rPr>
          <w:rFonts w:hint="eastAsia" w:ascii="宋体" w:hAnsi="宋体" w:cs="宋体"/>
          <w:color w:val="auto"/>
          <w:kern w:val="0"/>
          <w:szCs w:val="21"/>
          <w:highlight w:val="none"/>
        </w:rPr>
        <w:t xml:space="preserve">发布项目终止公告并说明原因，重新开展采购活动： </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（1）因情况变化，不再符合规定的询价采购方式适用情形的；</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（2）出现影响采购公正的违法、违规行为的；</w:t>
      </w:r>
    </w:p>
    <w:p>
      <w:pPr>
        <w:widowControl/>
        <w:adjustRightInd w:val="0"/>
        <w:snapToGrid w:val="0"/>
        <w:spacing w:line="4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（3）在采购过程中符合竞争要求的供应商或者报价未超过采购预算的供应商不足3家的，或者提交最后报价的供应商少于3家的；</w:t>
      </w:r>
    </w:p>
    <w:p>
      <w:pPr>
        <w:widowControl/>
        <w:adjustRightInd w:val="0"/>
        <w:snapToGrid w:val="0"/>
        <w:spacing w:line="400" w:lineRule="exact"/>
        <w:ind w:firstLine="420"/>
        <w:jc w:val="left"/>
        <w:rPr>
          <w:rFonts w:hint="eastAsia" w:ascii="宋体" w:hAnsi="宋体"/>
          <w:b/>
          <w:bCs/>
          <w:color w:val="auto"/>
          <w:szCs w:val="21"/>
          <w:highlight w:val="none"/>
        </w:rPr>
      </w:pPr>
      <w:r>
        <w:rPr>
          <w:rFonts w:hint="eastAsia" w:ascii="宋体" w:hAnsi="宋体" w:cs="宋体"/>
          <w:color w:val="auto"/>
          <w:kern w:val="0"/>
          <w:szCs w:val="21"/>
          <w:highlight w:val="none"/>
        </w:rPr>
        <w:t>（4）</w:t>
      </w:r>
      <w:r>
        <w:rPr>
          <w:rFonts w:hint="eastAsia" w:ascii="宋体" w:hAnsi="宋体"/>
          <w:bCs/>
          <w:color w:val="auto"/>
          <w:szCs w:val="21"/>
          <w:highlight w:val="none"/>
        </w:rPr>
        <w:t>因重大变故，采购任务取消的。</w:t>
      </w:r>
    </w:p>
    <w:p>
      <w:pPr>
        <w:widowControl/>
        <w:adjustRightInd w:val="0"/>
        <w:snapToGrid w:val="0"/>
        <w:spacing w:line="40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32．重新评审</w:t>
      </w:r>
    </w:p>
    <w:p>
      <w:pPr>
        <w:widowControl/>
        <w:adjustRightInd w:val="0"/>
        <w:snapToGrid w:val="0"/>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32.1除资格性审查认定错误和价格计算错误外，采购人或者采购代理机构不以任何理由组织重新评审。采购人、采购代理机构发现询价小组未按照询价通知书规定的评定成交的标准进行评审的，应当重新开展采购活动，并同时书面报告本级财政部门。</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33.保密及串通行为</w:t>
      </w:r>
    </w:p>
    <w:p>
      <w:pPr>
        <w:adjustRightInd w:val="0"/>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rPr>
        <w:t>33.1询价小组成员以及与评审工作有关的人员不得泄露评审情况以及评审过程中获悉的国家秘密、商业秘密。</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33.2</w:t>
      </w:r>
      <w:r>
        <w:rPr>
          <w:rFonts w:hint="eastAsia" w:ascii="宋体" w:hAnsi="宋体" w:cs="宋体"/>
          <w:color w:val="auto"/>
          <w:kern w:val="0"/>
          <w:szCs w:val="21"/>
          <w:highlight w:val="none"/>
        </w:rPr>
        <w:t>供应商</w:t>
      </w:r>
      <w:r>
        <w:rPr>
          <w:rFonts w:hint="eastAsia" w:ascii="宋体" w:hAnsi="宋体"/>
          <w:color w:val="auto"/>
          <w:szCs w:val="21"/>
          <w:highlight w:val="none"/>
        </w:rPr>
        <w:t>不得与</w:t>
      </w:r>
      <w:r>
        <w:rPr>
          <w:rFonts w:hint="eastAsia" w:ascii="宋体" w:hAnsi="宋体" w:cs="宋体"/>
          <w:color w:val="auto"/>
          <w:kern w:val="0"/>
          <w:szCs w:val="21"/>
          <w:highlight w:val="none"/>
        </w:rPr>
        <w:t>采购人、采购代理机构、其他供应商恶意</w:t>
      </w:r>
      <w:r>
        <w:rPr>
          <w:rFonts w:hint="eastAsia" w:ascii="宋体" w:hAnsi="宋体"/>
          <w:color w:val="auto"/>
          <w:szCs w:val="21"/>
          <w:highlight w:val="none"/>
        </w:rPr>
        <w:t>串通；不得向</w:t>
      </w:r>
      <w:r>
        <w:rPr>
          <w:rFonts w:hint="eastAsia" w:ascii="宋体" w:hAnsi="宋体" w:cs="宋体"/>
          <w:color w:val="auto"/>
          <w:kern w:val="0"/>
          <w:szCs w:val="21"/>
          <w:highlight w:val="none"/>
        </w:rPr>
        <w:t>采购人、采购代理机构</w:t>
      </w:r>
      <w:r>
        <w:rPr>
          <w:rFonts w:hint="eastAsia" w:ascii="宋体" w:hAnsi="宋体"/>
          <w:color w:val="auto"/>
          <w:szCs w:val="21"/>
          <w:highlight w:val="none"/>
        </w:rPr>
        <w:t>或者询价小组成员行贿或者提供其他不正当利益；不得提供虚假材料谋取成交；不得以任何方式干扰、影响采购工作。</w:t>
      </w:r>
    </w:p>
    <w:p>
      <w:pPr>
        <w:pStyle w:val="25"/>
        <w:adjustRightInd w:val="0"/>
        <w:snapToGrid w:val="0"/>
        <w:spacing w:before="0" w:beforeAutospacing="0" w:after="0" w:afterAutospacing="0" w:line="400" w:lineRule="exact"/>
        <w:ind w:firstLine="420" w:firstLineChars="200"/>
        <w:rPr>
          <w:color w:val="auto"/>
          <w:sz w:val="21"/>
          <w:szCs w:val="21"/>
          <w:highlight w:val="none"/>
          <w:lang w:val="zh-CN"/>
        </w:rPr>
      </w:pPr>
      <w:r>
        <w:rPr>
          <w:rFonts w:hint="eastAsia" w:cs="Arial"/>
          <w:color w:val="auto"/>
          <w:sz w:val="21"/>
          <w:szCs w:val="21"/>
          <w:highlight w:val="none"/>
        </w:rPr>
        <w:t>33.3</w:t>
      </w:r>
      <w:r>
        <w:rPr>
          <w:rFonts w:cs="Arial"/>
          <w:color w:val="auto"/>
          <w:sz w:val="21"/>
          <w:szCs w:val="21"/>
          <w:highlight w:val="none"/>
        </w:rPr>
        <w:t>有下列情形之一的，</w:t>
      </w:r>
      <w:r>
        <w:rPr>
          <w:color w:val="auto"/>
          <w:sz w:val="21"/>
          <w:szCs w:val="21"/>
          <w:highlight w:val="none"/>
          <w:lang w:val="zh-CN"/>
        </w:rPr>
        <w:t>属于恶意串通，</w:t>
      </w:r>
      <w:r>
        <w:rPr>
          <w:color w:val="auto"/>
          <w:sz w:val="21"/>
          <w:szCs w:val="21"/>
          <w:highlight w:val="none"/>
        </w:rPr>
        <w:t>成交无效，并</w:t>
      </w:r>
      <w:r>
        <w:rPr>
          <w:color w:val="auto"/>
          <w:sz w:val="21"/>
          <w:szCs w:val="21"/>
          <w:highlight w:val="none"/>
          <w:lang w:val="zh-CN"/>
        </w:rPr>
        <w:t>依照《政府采购法》第七十七条的规定追究法律责任：</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（1）供应商直接或者间接从</w:t>
      </w:r>
      <w:r>
        <w:rPr>
          <w:rFonts w:hint="eastAsia" w:ascii="宋体" w:hAnsi="宋体"/>
          <w:bCs/>
          <w:color w:val="auto"/>
          <w:szCs w:val="21"/>
          <w:highlight w:val="none"/>
        </w:rPr>
        <w:t>采购人、采购代理机构</w:t>
      </w:r>
      <w:r>
        <w:rPr>
          <w:rFonts w:hint="eastAsia" w:ascii="宋体" w:hAnsi="宋体"/>
          <w:color w:val="auto"/>
          <w:szCs w:val="21"/>
          <w:highlight w:val="none"/>
        </w:rPr>
        <w:t>获得其他供应商的响应情况，并修改其响应文件</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采购人、采购代理机构</w:t>
      </w:r>
      <w:r>
        <w:rPr>
          <w:rFonts w:hint="eastAsia" w:ascii="宋体" w:hAnsi="宋体"/>
          <w:color w:val="auto"/>
          <w:szCs w:val="21"/>
          <w:highlight w:val="none"/>
        </w:rPr>
        <w:t>授意供应商撤换、修改响应文件</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（3）供应商之间协商技术方案、合同条款以及报价等响应文件实质性内容</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（4）属于同一集团、协会、商会等组织成员的供应商按照该组织要求协同参加询价</w:t>
      </w:r>
      <w:r>
        <w:rPr>
          <w:rFonts w:hint="eastAsia" w:ascii="宋体" w:hAnsi="宋体"/>
          <w:color w:val="auto"/>
          <w:szCs w:val="21"/>
          <w:highlight w:val="none"/>
          <w:lang w:eastAsia="zh-CN"/>
        </w:rPr>
        <w:t>采购</w:t>
      </w:r>
      <w:r>
        <w:rPr>
          <w:rFonts w:hint="eastAsia" w:ascii="宋体" w:hAnsi="宋体"/>
          <w:color w:val="auto"/>
          <w:szCs w:val="21"/>
          <w:highlight w:val="none"/>
        </w:rPr>
        <w:t>活动</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（5）供应商之间事先约定由某一特定供应商成交</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（6）供应商之间商定部分供应商放弃</w:t>
      </w:r>
      <w:r>
        <w:rPr>
          <w:rFonts w:hint="eastAsia" w:ascii="宋体" w:hAnsi="宋体"/>
          <w:color w:val="auto"/>
          <w:highlight w:val="none"/>
        </w:rPr>
        <w:t>提</w:t>
      </w:r>
      <w:r>
        <w:rPr>
          <w:rFonts w:hint="eastAsia" w:ascii="宋体" w:hAnsi="宋体"/>
          <w:color w:val="auto"/>
          <w:szCs w:val="21"/>
          <w:highlight w:val="none"/>
        </w:rPr>
        <w:t>交响应文件或者退出询价或者放弃成交</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（7）供应商与</w:t>
      </w:r>
      <w:r>
        <w:rPr>
          <w:rFonts w:hint="eastAsia" w:ascii="宋体" w:hAnsi="宋体"/>
          <w:bCs/>
          <w:color w:val="auto"/>
          <w:szCs w:val="21"/>
          <w:highlight w:val="none"/>
        </w:rPr>
        <w:t>采购人、采购代理机构以及</w:t>
      </w:r>
      <w:r>
        <w:rPr>
          <w:rFonts w:hint="eastAsia" w:ascii="宋体" w:hAnsi="宋体"/>
          <w:color w:val="auto"/>
          <w:szCs w:val="21"/>
          <w:highlight w:val="none"/>
        </w:rPr>
        <w:t>询价小组成员之间、供应商相互之间，为谋求特定供应商成交或者排斥其他供应商的其他串通行为</w:t>
      </w:r>
      <w:r>
        <w:rPr>
          <w:rFonts w:hint="eastAsia" w:ascii="宋体" w:hAnsi="宋体"/>
          <w:color w:val="auto"/>
          <w:highlight w:val="none"/>
        </w:rPr>
        <w:t>的</w:t>
      </w:r>
      <w:r>
        <w:rPr>
          <w:rFonts w:hint="eastAsia" w:ascii="宋体" w:hAnsi="宋体"/>
          <w:color w:val="auto"/>
          <w:szCs w:val="21"/>
          <w:highlight w:val="none"/>
        </w:rPr>
        <w:t>。</w:t>
      </w:r>
    </w:p>
    <w:p>
      <w:pPr>
        <w:adjustRightInd w:val="0"/>
        <w:snapToGrid w:val="0"/>
        <w:spacing w:line="400" w:lineRule="exact"/>
        <w:ind w:firstLine="420" w:firstLineChars="200"/>
        <w:rPr>
          <w:rFonts w:hint="eastAsia" w:ascii="宋体" w:hAnsi="宋体"/>
          <w:color w:val="auto"/>
          <w:szCs w:val="21"/>
          <w:highlight w:val="none"/>
        </w:rPr>
      </w:pPr>
      <w:r>
        <w:rPr>
          <w:rFonts w:ascii="宋体" w:hAnsi="宋体" w:cs="Arial"/>
          <w:color w:val="auto"/>
          <w:szCs w:val="21"/>
          <w:highlight w:val="none"/>
        </w:rPr>
        <w:t>（</w:t>
      </w:r>
      <w:r>
        <w:rPr>
          <w:rFonts w:hint="eastAsia" w:ascii="宋体" w:hAnsi="宋体" w:cs="Arial"/>
          <w:color w:val="auto"/>
          <w:szCs w:val="21"/>
          <w:highlight w:val="none"/>
        </w:rPr>
        <w:t>8</w:t>
      </w:r>
      <w:r>
        <w:rPr>
          <w:rFonts w:ascii="宋体" w:hAnsi="宋体" w:cs="Arial"/>
          <w:color w:val="auto"/>
          <w:szCs w:val="21"/>
          <w:highlight w:val="none"/>
        </w:rPr>
        <w:t>）</w:t>
      </w:r>
      <w:r>
        <w:rPr>
          <w:rFonts w:ascii="宋体" w:hAnsi="宋体"/>
          <w:color w:val="auto"/>
          <w:szCs w:val="21"/>
          <w:highlight w:val="none"/>
        </w:rPr>
        <w:t>法律、行政法规或规章规定的其他串通行为。</w:t>
      </w:r>
    </w:p>
    <w:p>
      <w:pPr>
        <w:adjustRightInd w:val="0"/>
        <w:snapToGrid w:val="0"/>
        <w:spacing w:line="400" w:lineRule="exact"/>
        <w:rPr>
          <w:rFonts w:hint="eastAsia" w:ascii="黑体" w:hAnsi="宋体" w:eastAsia="黑体"/>
          <w:b/>
          <w:color w:val="auto"/>
          <w:sz w:val="24"/>
          <w:highlight w:val="none"/>
        </w:rPr>
      </w:pPr>
      <w:r>
        <w:rPr>
          <w:rFonts w:hint="eastAsia" w:ascii="黑体" w:hAnsi="宋体" w:eastAsia="黑体"/>
          <w:b/>
          <w:color w:val="auto"/>
          <w:sz w:val="24"/>
          <w:highlight w:val="none"/>
        </w:rPr>
        <w:t>六、成交结果信息公布与授予合同</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34.成交信息的公布</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34.1成交供应商确定后2个工作日内，采购人或者采购代理机构应将成交结果信息在</w:t>
      </w:r>
      <w:r>
        <w:rPr>
          <w:rFonts w:hint="eastAsia" w:hAnsi="宋体"/>
          <w:b/>
          <w:color w:val="auto"/>
          <w:highlight w:val="none"/>
        </w:rPr>
        <w:t>询价须知前附表</w:t>
      </w:r>
      <w:r>
        <w:rPr>
          <w:rFonts w:hint="eastAsia" w:hAnsi="宋体"/>
          <w:color w:val="auto"/>
          <w:highlight w:val="none"/>
        </w:rPr>
        <w:t>指定的媒体上公布。</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35.询问及质疑</w:t>
      </w:r>
    </w:p>
    <w:p>
      <w:pPr>
        <w:adjustRightInd w:val="0"/>
        <w:snapToGrid w:val="0"/>
        <w:spacing w:line="400" w:lineRule="exact"/>
        <w:ind w:firstLine="420" w:firstLineChars="200"/>
        <w:jc w:val="left"/>
        <w:rPr>
          <w:rFonts w:hint="eastAsia" w:hAnsi="宋体"/>
          <w:color w:val="auto"/>
          <w:highlight w:val="none"/>
        </w:rPr>
      </w:pPr>
      <w:r>
        <w:rPr>
          <w:rFonts w:hint="eastAsia" w:ascii="宋体" w:hAnsi="宋体"/>
          <w:color w:val="auto"/>
          <w:szCs w:val="21"/>
          <w:highlight w:val="none"/>
        </w:rPr>
        <w:t>35.1供应商对</w:t>
      </w:r>
      <w:r>
        <w:rPr>
          <w:rFonts w:hint="eastAsia" w:ascii="宋体" w:hAnsi="宋体"/>
          <w:color w:val="auto"/>
          <w:szCs w:val="21"/>
          <w:highlight w:val="none"/>
          <w:lang w:eastAsia="zh-CN"/>
        </w:rPr>
        <w:t>采购</w:t>
      </w:r>
      <w:r>
        <w:rPr>
          <w:rFonts w:hint="eastAsia" w:ascii="宋体" w:hAnsi="宋体"/>
          <w:color w:val="auto"/>
          <w:szCs w:val="21"/>
          <w:highlight w:val="none"/>
        </w:rPr>
        <w:t>活动事项有疑问的，可以向采购人或采购代理机构提出询问。</w:t>
      </w:r>
    </w:p>
    <w:p>
      <w:pPr>
        <w:adjustRightInd w:val="0"/>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35.2供应商若认为询价通知书、采购过程和成交结果使自己的权益受到损害，可以按法律、规章及湖南省财政厅规范性文件规定向采购人或采购代理机构提出质疑。</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36.成交通知</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36.1成交供应商确定后，采购人或采购代理机构将以书面形式向成交供应商发出成交通知书。成交通知书对采购人和成交供应商具有同等法律效力。</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36.2 成交通知书是合同文件的组成部分。</w:t>
      </w:r>
    </w:p>
    <w:p>
      <w:pPr>
        <w:tabs>
          <w:tab w:val="left" w:pos="7560"/>
          <w:tab w:val="left" w:pos="7740"/>
          <w:tab w:val="left" w:pos="7920"/>
        </w:tabs>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 xml:space="preserve">36.3 </w:t>
      </w:r>
      <w:r>
        <w:rPr>
          <w:rFonts w:hint="eastAsia" w:ascii="宋体" w:hAnsi="宋体"/>
          <w:color w:val="auto"/>
          <w:szCs w:val="21"/>
          <w:highlight w:val="none"/>
        </w:rPr>
        <w:t>成交供应商在收到采购代理机构的成交通知书后10日内，应按照</w:t>
      </w:r>
      <w:r>
        <w:rPr>
          <w:rFonts w:hint="eastAsia" w:ascii="宋体" w:hAnsi="宋体"/>
          <w:b/>
          <w:color w:val="auto"/>
          <w:szCs w:val="21"/>
          <w:highlight w:val="none"/>
        </w:rPr>
        <w:t>询价须知前附表</w:t>
      </w:r>
      <w:r>
        <w:rPr>
          <w:rFonts w:hint="eastAsia" w:ascii="宋体" w:hAnsi="宋体"/>
          <w:color w:val="auto"/>
          <w:szCs w:val="21"/>
          <w:highlight w:val="none"/>
        </w:rPr>
        <w:t>的规定，向采购人提交履约担保。联合体成交的，履约担保由联合体各方或联合体中牵头人的名义提交。</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36.4 成交供应商</w:t>
      </w:r>
      <w:r>
        <w:rPr>
          <w:rFonts w:hint="eastAsia" w:hAnsi="宋体"/>
          <w:color w:val="auto"/>
          <w:spacing w:val="4"/>
          <w:highlight w:val="none"/>
        </w:rPr>
        <w:t>没有按照本章第37.3</w:t>
      </w:r>
      <w:r>
        <w:rPr>
          <w:rFonts w:hint="eastAsia" w:hAnsi="宋体" w:cs="宋体"/>
          <w:color w:val="auto"/>
          <w:kern w:val="0"/>
          <w:highlight w:val="none"/>
          <w:lang w:val="zh-CN"/>
        </w:rPr>
        <w:t>款</w:t>
      </w:r>
      <w:r>
        <w:rPr>
          <w:rFonts w:hint="eastAsia" w:hAnsi="宋体"/>
          <w:color w:val="auto"/>
          <w:spacing w:val="4"/>
          <w:highlight w:val="none"/>
        </w:rPr>
        <w:t>规定</w:t>
      </w:r>
      <w:r>
        <w:rPr>
          <w:rFonts w:hint="eastAsia" w:hAnsi="宋体"/>
          <w:color w:val="auto"/>
          <w:highlight w:val="none"/>
        </w:rPr>
        <w:t>提交履约担保的</w:t>
      </w:r>
      <w:r>
        <w:rPr>
          <w:rFonts w:hint="eastAsia" w:hAnsi="宋体"/>
          <w:color w:val="auto"/>
          <w:spacing w:val="4"/>
          <w:highlight w:val="none"/>
        </w:rPr>
        <w:t>，视为放弃</w:t>
      </w:r>
      <w:r>
        <w:rPr>
          <w:rFonts w:hint="eastAsia" w:hAnsi="宋体"/>
          <w:color w:val="auto"/>
          <w:highlight w:val="none"/>
        </w:rPr>
        <w:t>成交资格</w:t>
      </w:r>
      <w:r>
        <w:rPr>
          <w:rFonts w:hint="eastAsia" w:hAnsi="宋体"/>
          <w:color w:val="auto"/>
          <w:spacing w:val="4"/>
          <w:highlight w:val="none"/>
        </w:rPr>
        <w:t>，</w:t>
      </w:r>
      <w:r>
        <w:rPr>
          <w:rFonts w:hint="eastAsia" w:hAnsi="宋体"/>
          <w:color w:val="auto"/>
          <w:spacing w:val="2"/>
          <w:highlight w:val="none"/>
        </w:rPr>
        <w:t>其保证金不予退还。</w:t>
      </w:r>
    </w:p>
    <w:p>
      <w:pPr>
        <w:adjustRightInd w:val="0"/>
        <w:snapToGrid w:val="0"/>
        <w:spacing w:line="400" w:lineRule="exact"/>
        <w:rPr>
          <w:rFonts w:hint="eastAsia" w:ascii="宋体" w:hAnsi="宋体"/>
          <w:b/>
          <w:bCs/>
          <w:color w:val="auto"/>
          <w:szCs w:val="21"/>
          <w:highlight w:val="none"/>
        </w:rPr>
      </w:pPr>
      <w:r>
        <w:rPr>
          <w:rFonts w:hint="eastAsia" w:ascii="宋体" w:hAnsi="宋体"/>
          <w:b/>
          <w:bCs/>
          <w:color w:val="auto"/>
          <w:szCs w:val="21"/>
          <w:highlight w:val="none"/>
        </w:rPr>
        <w:t>37.签订合同</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37.1 询价通知书、成交供应商的响应文件及其补充的响应文件等均为签订</w:t>
      </w:r>
      <w:r>
        <w:rPr>
          <w:rFonts w:hint="eastAsia" w:hAnsi="宋体"/>
          <w:color w:val="auto"/>
          <w:highlight w:val="none"/>
          <w:lang w:eastAsia="zh-CN"/>
        </w:rPr>
        <w:t>采购</w:t>
      </w:r>
      <w:r>
        <w:rPr>
          <w:rFonts w:hint="eastAsia" w:hAnsi="宋体"/>
          <w:color w:val="auto"/>
          <w:highlight w:val="none"/>
        </w:rPr>
        <w:t>合同的依据。</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37.2 成交供应商应当在成交通知书发出之日起30日内与采购人签订</w:t>
      </w:r>
      <w:r>
        <w:rPr>
          <w:rFonts w:hint="eastAsia" w:hAnsi="宋体"/>
          <w:color w:val="auto"/>
          <w:highlight w:val="none"/>
          <w:lang w:eastAsia="zh-CN"/>
        </w:rPr>
        <w:t>采购</w:t>
      </w:r>
      <w:r>
        <w:rPr>
          <w:rFonts w:hint="eastAsia" w:hAnsi="宋体"/>
          <w:color w:val="auto"/>
          <w:highlight w:val="none"/>
        </w:rPr>
        <w:t>合同。</w:t>
      </w:r>
    </w:p>
    <w:p>
      <w:pPr>
        <w:pStyle w:val="16"/>
        <w:adjustRightInd w:val="0"/>
        <w:snapToGrid w:val="0"/>
        <w:spacing w:line="400" w:lineRule="exact"/>
        <w:ind w:firstLine="420" w:firstLineChars="200"/>
        <w:rPr>
          <w:rFonts w:hAnsi="宋体"/>
          <w:color w:val="auto"/>
          <w:highlight w:val="none"/>
        </w:rPr>
      </w:pPr>
      <w:r>
        <w:rPr>
          <w:rFonts w:hint="eastAsia" w:hAnsi="宋体"/>
          <w:color w:val="auto"/>
          <w:highlight w:val="none"/>
        </w:rPr>
        <w:t>37.3 成交供应商应当按照合同约定履行义务。成交供应商不得向他人转让成交项目，也不得将成交项目分包后分别向他人转让。</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37.4 成交供应商有下列情形之一的，责令限期改正，情节严重的，列入不良行为记录名单，在1至3年内禁止参加政府采购活动，并予以通报：</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（一）成交后无正当理由不与采购人签订合同的；</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（二）未按照询价通知书确定的事项签订</w:t>
      </w:r>
      <w:r>
        <w:rPr>
          <w:rFonts w:hint="eastAsia" w:hAnsi="宋体"/>
          <w:color w:val="auto"/>
          <w:highlight w:val="none"/>
          <w:lang w:eastAsia="zh-CN"/>
        </w:rPr>
        <w:t>采购</w:t>
      </w:r>
      <w:r>
        <w:rPr>
          <w:rFonts w:hint="eastAsia" w:hAnsi="宋体"/>
          <w:color w:val="auto"/>
          <w:highlight w:val="none"/>
        </w:rPr>
        <w:t>合同，或者与采购人另行订立背离合同实质性内容的协议的；</w:t>
      </w:r>
    </w:p>
    <w:p>
      <w:pPr>
        <w:pStyle w:val="16"/>
        <w:adjustRightInd w:val="0"/>
        <w:snapToGrid w:val="0"/>
        <w:spacing w:line="400" w:lineRule="exact"/>
        <w:ind w:firstLine="420" w:firstLineChars="200"/>
        <w:rPr>
          <w:rFonts w:hint="eastAsia" w:hAnsi="宋体"/>
          <w:color w:val="auto"/>
          <w:highlight w:val="none"/>
        </w:rPr>
      </w:pPr>
      <w:r>
        <w:rPr>
          <w:rFonts w:hint="eastAsia" w:hAnsi="宋体"/>
          <w:color w:val="auto"/>
          <w:highlight w:val="none"/>
        </w:rPr>
        <w:t>（三）拒绝履行合同义务的；</w:t>
      </w:r>
    </w:p>
    <w:p>
      <w:pPr>
        <w:pStyle w:val="16"/>
        <w:adjustRightInd w:val="0"/>
        <w:snapToGrid w:val="0"/>
        <w:spacing w:line="400" w:lineRule="exact"/>
        <w:ind w:firstLine="420" w:firstLineChars="200"/>
        <w:rPr>
          <w:rFonts w:hAnsi="宋体"/>
          <w:color w:val="auto"/>
          <w:highlight w:val="none"/>
        </w:rPr>
      </w:pPr>
      <w:r>
        <w:rPr>
          <w:rFonts w:hint="eastAsia" w:hAnsi="宋体"/>
          <w:color w:val="auto"/>
          <w:highlight w:val="none"/>
        </w:rPr>
        <w:t>（四）</w:t>
      </w:r>
      <w:r>
        <w:rPr>
          <w:rFonts w:hint="eastAsia" w:hAnsi="宋体" w:cs="宋体"/>
          <w:color w:val="auto"/>
          <w:kern w:val="0"/>
          <w:highlight w:val="none"/>
        </w:rPr>
        <w:t>违反法律、规章、规范性文件规定的。</w:t>
      </w:r>
    </w:p>
    <w:p>
      <w:pPr>
        <w:pStyle w:val="16"/>
        <w:adjustRightInd w:val="0"/>
        <w:snapToGrid w:val="0"/>
        <w:spacing w:line="400" w:lineRule="exact"/>
        <w:jc w:val="left"/>
        <w:rPr>
          <w:rFonts w:hint="eastAsia" w:ascii="黑体" w:hAnsi="宋体" w:eastAsia="黑体"/>
          <w:b/>
          <w:color w:val="auto"/>
          <w:sz w:val="24"/>
          <w:szCs w:val="24"/>
          <w:highlight w:val="none"/>
        </w:rPr>
      </w:pPr>
      <w:r>
        <w:rPr>
          <w:rFonts w:hint="eastAsia" w:ascii="黑体" w:hAnsi="宋体" w:eastAsia="黑体"/>
          <w:b/>
          <w:color w:val="auto"/>
          <w:sz w:val="24"/>
          <w:szCs w:val="24"/>
          <w:highlight w:val="none"/>
        </w:rPr>
        <w:t>七、其他规定</w:t>
      </w:r>
    </w:p>
    <w:p>
      <w:pPr>
        <w:tabs>
          <w:tab w:val="left" w:pos="420"/>
          <w:tab w:val="left" w:pos="7560"/>
          <w:tab w:val="left" w:pos="7740"/>
          <w:tab w:val="left" w:pos="7920"/>
        </w:tabs>
        <w:adjustRightInd w:val="0"/>
        <w:snapToGrid w:val="0"/>
        <w:spacing w:line="400" w:lineRule="exact"/>
        <w:rPr>
          <w:rFonts w:hint="eastAsia" w:hAnsi="宋体"/>
          <w:b/>
          <w:color w:val="auto"/>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8</w:t>
      </w:r>
      <w:r>
        <w:rPr>
          <w:rFonts w:hint="eastAsia" w:ascii="宋体" w:hAnsi="宋体"/>
          <w:b/>
          <w:color w:val="auto"/>
          <w:szCs w:val="21"/>
          <w:highlight w:val="none"/>
        </w:rPr>
        <w:t>.</w:t>
      </w:r>
      <w:r>
        <w:rPr>
          <w:rFonts w:hint="eastAsia" w:hAnsi="宋体"/>
          <w:b/>
          <w:color w:val="auto"/>
          <w:highlight w:val="none"/>
        </w:rPr>
        <w:t xml:space="preserve"> 其他规定</w:t>
      </w:r>
    </w:p>
    <w:p>
      <w:pPr>
        <w:tabs>
          <w:tab w:val="left" w:pos="420"/>
          <w:tab w:val="left" w:pos="7560"/>
          <w:tab w:val="left" w:pos="7740"/>
          <w:tab w:val="left" w:pos="7920"/>
        </w:tabs>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highlight w:val="none"/>
        </w:rPr>
        <w:t>3</w:t>
      </w:r>
      <w:r>
        <w:rPr>
          <w:rFonts w:hint="eastAsia" w:ascii="宋体" w:hAnsi="宋体"/>
          <w:color w:val="auto"/>
          <w:highlight w:val="none"/>
          <w:lang w:val="en-US" w:eastAsia="zh-CN"/>
        </w:rPr>
        <w:t>8</w:t>
      </w:r>
      <w:r>
        <w:rPr>
          <w:rFonts w:hint="eastAsia" w:ascii="宋体" w:hAnsi="宋体"/>
          <w:color w:val="auto"/>
          <w:highlight w:val="none"/>
        </w:rPr>
        <w:t>.1</w:t>
      </w:r>
      <w:r>
        <w:rPr>
          <w:rFonts w:hint="eastAsia" w:ascii="宋体" w:hAnsi="宋体"/>
          <w:color w:val="auto"/>
          <w:szCs w:val="21"/>
          <w:highlight w:val="none"/>
        </w:rPr>
        <w:t>询价通知书</w:t>
      </w:r>
      <w:r>
        <w:rPr>
          <w:rFonts w:hint="eastAsia" w:hAnsi="宋体"/>
          <w:color w:val="auto"/>
          <w:highlight w:val="none"/>
        </w:rPr>
        <w:t>的其他规定</w:t>
      </w:r>
      <w:r>
        <w:rPr>
          <w:rFonts w:hint="eastAsia" w:ascii="宋体" w:hAnsi="宋体"/>
          <w:color w:val="auto"/>
          <w:szCs w:val="21"/>
          <w:highlight w:val="none"/>
        </w:rPr>
        <w:t>见</w:t>
      </w:r>
      <w:r>
        <w:rPr>
          <w:rFonts w:hint="eastAsia" w:ascii="宋体" w:hAnsi="宋体"/>
          <w:b/>
          <w:color w:val="auto"/>
          <w:szCs w:val="21"/>
          <w:highlight w:val="none"/>
        </w:rPr>
        <w:t>询价须知前附表</w:t>
      </w:r>
      <w:r>
        <w:rPr>
          <w:rFonts w:hint="eastAsia" w:ascii="宋体" w:hAnsi="宋体"/>
          <w:color w:val="auto"/>
          <w:szCs w:val="21"/>
          <w:highlight w:val="none"/>
        </w:rPr>
        <w:t>。</w:t>
      </w:r>
    </w:p>
    <w:p>
      <w:pPr>
        <w:adjustRightInd w:val="0"/>
        <w:snapToGrid w:val="0"/>
        <w:spacing w:before="156" w:beforeLines="50" w:line="360" w:lineRule="auto"/>
        <w:jc w:val="center"/>
        <w:rPr>
          <w:rFonts w:hint="eastAsia" w:ascii="宋体" w:hAnsi="宋体"/>
          <w:color w:val="auto"/>
          <w:szCs w:val="21"/>
          <w:highlight w:val="none"/>
        </w:rPr>
      </w:pPr>
    </w:p>
    <w:p>
      <w:pPr>
        <w:tabs>
          <w:tab w:val="left" w:pos="420"/>
          <w:tab w:val="left" w:pos="7560"/>
          <w:tab w:val="left" w:pos="7740"/>
          <w:tab w:val="left" w:pos="7920"/>
        </w:tabs>
        <w:adjustRightInd w:val="0"/>
        <w:snapToGrid w:val="0"/>
        <w:spacing w:before="156" w:beforeLines="50" w:line="360" w:lineRule="auto"/>
        <w:ind w:firstLine="420" w:firstLineChars="200"/>
        <w:rPr>
          <w:rFonts w:hint="eastAsia" w:ascii="宋体" w:hAnsi="宋体"/>
          <w:color w:val="auto"/>
          <w:szCs w:val="21"/>
          <w:highlight w:val="none"/>
        </w:rPr>
      </w:pPr>
    </w:p>
    <w:p>
      <w:pPr>
        <w:pStyle w:val="2"/>
        <w:rPr>
          <w:rFonts w:hint="eastAsia" w:ascii="宋体" w:hAnsi="宋体"/>
          <w:color w:val="auto"/>
          <w:szCs w:val="21"/>
          <w:highlight w:val="none"/>
        </w:rPr>
      </w:pPr>
    </w:p>
    <w:p>
      <w:pPr>
        <w:pStyle w:val="73"/>
        <w:rPr>
          <w:rFonts w:hint="eastAsia" w:ascii="宋体" w:hAnsi="宋体"/>
          <w:color w:val="auto"/>
          <w:szCs w:val="21"/>
          <w:highlight w:val="none"/>
        </w:rPr>
      </w:pPr>
    </w:p>
    <w:p>
      <w:pPr>
        <w:pStyle w:val="14"/>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pStyle w:val="15"/>
        <w:rPr>
          <w:rFonts w:hint="eastAsia" w:ascii="宋体" w:hAnsi="宋体"/>
          <w:color w:val="auto"/>
          <w:szCs w:val="21"/>
          <w:highlight w:val="none"/>
        </w:rPr>
      </w:pPr>
    </w:p>
    <w:p>
      <w:pPr>
        <w:widowControl/>
        <w:adjustRightInd w:val="0"/>
        <w:snapToGrid w:val="0"/>
        <w:spacing w:before="100" w:beforeAutospacing="1" w:after="100" w:afterAutospacing="1" w:line="600" w:lineRule="exact"/>
        <w:contextualSpacing/>
        <w:jc w:val="center"/>
        <w:rPr>
          <w:rFonts w:hint="eastAsia"/>
          <w:color w:val="0000FF"/>
          <w:sz w:val="36"/>
          <w:szCs w:val="36"/>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三</w:t>
      </w:r>
      <w:r>
        <w:rPr>
          <w:rFonts w:hint="eastAsia" w:ascii="黑体" w:eastAsia="黑体"/>
          <w:b/>
          <w:color w:val="auto"/>
          <w:sz w:val="32"/>
          <w:szCs w:val="32"/>
          <w:highlight w:val="none"/>
        </w:rPr>
        <w:t xml:space="preserve">章  </w:t>
      </w:r>
      <w:r>
        <w:rPr>
          <w:rFonts w:hint="eastAsia" w:ascii="黑体" w:hAnsi="华文中宋" w:eastAsia="黑体" w:cs="Times New Roman"/>
          <w:b/>
          <w:bCs/>
          <w:color w:val="auto"/>
          <w:sz w:val="32"/>
          <w:szCs w:val="32"/>
          <w:highlight w:val="none"/>
        </w:rPr>
        <w:t>评标办法（综合评分法）</w:t>
      </w:r>
    </w:p>
    <w:tbl>
      <w:tblPr>
        <w:tblStyle w:val="29"/>
        <w:tblW w:w="9705" w:type="dxa"/>
        <w:tblInd w:w="0" w:type="dxa"/>
        <w:shd w:val="clear" w:color="auto" w:fill="auto"/>
        <w:tblLayout w:type="autofit"/>
        <w:tblCellMar>
          <w:top w:w="0" w:type="dxa"/>
          <w:left w:w="0" w:type="dxa"/>
          <w:bottom w:w="0" w:type="dxa"/>
          <w:right w:w="0" w:type="dxa"/>
        </w:tblCellMar>
      </w:tblPr>
      <w:tblGrid>
        <w:gridCol w:w="1080"/>
        <w:gridCol w:w="2895"/>
        <w:gridCol w:w="5730"/>
      </w:tblGrid>
      <w:tr>
        <w:tblPrEx>
          <w:shd w:val="clear" w:color="auto" w:fill="auto"/>
          <w:tblCellMar>
            <w:top w:w="0" w:type="dxa"/>
            <w:left w:w="0" w:type="dxa"/>
            <w:bottom w:w="0" w:type="dxa"/>
            <w:right w:w="0" w:type="dxa"/>
          </w:tblCellMar>
        </w:tblPrEx>
        <w:trPr>
          <w:trHeight w:val="405" w:hRule="atLeast"/>
        </w:trPr>
        <w:tc>
          <w:tcPr>
            <w:tcW w:w="10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 xml:space="preserve"> </w:t>
            </w:r>
          </w:p>
        </w:tc>
        <w:tc>
          <w:tcPr>
            <w:tcW w:w="28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7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     目</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权值的取值</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报价 (A1)</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0.4</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 (A2)</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商务 (A3)</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0.3</w:t>
            </w:r>
          </w:p>
        </w:tc>
      </w:tr>
      <w:tr>
        <w:tblPrEx>
          <w:tblCellMar>
            <w:top w:w="0" w:type="dxa"/>
            <w:left w:w="0" w:type="dxa"/>
            <w:bottom w:w="0" w:type="dxa"/>
            <w:right w:w="0"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36"/>
                <w:szCs w:val="36"/>
                <w:u w:val="none"/>
              </w:rPr>
            </w:pPr>
            <w:r>
              <w:rPr>
                <w:rFonts w:hint="eastAsia" w:ascii="宋体" w:hAnsi="宋体" w:eastAsia="宋体" w:cs="宋体"/>
                <w:i w:val="0"/>
                <w:color w:val="0000FF"/>
                <w:kern w:val="0"/>
                <w:sz w:val="36"/>
                <w:szCs w:val="36"/>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评审因素</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计分因素</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编列内容</w:t>
            </w:r>
          </w:p>
        </w:tc>
      </w:tr>
      <w:tr>
        <w:tblPrEx>
          <w:tblCellMar>
            <w:top w:w="0" w:type="dxa"/>
            <w:left w:w="0" w:type="dxa"/>
            <w:bottom w:w="0" w:type="dxa"/>
            <w:right w:w="0" w:type="dxa"/>
          </w:tblCellMar>
        </w:tblPrEx>
        <w:trPr>
          <w:trHeight w:val="38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价格评价项（40分）</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投标报价</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本项目以合格投标单位有效投标报价为计算依据，所有合格投标人的有效投标报价之和的算术平均值为基准价，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1、投标价等于基准价其报价得分为</w:t>
            </w:r>
            <w:r>
              <w:rPr>
                <w:rFonts w:hint="eastAsia" w:ascii="宋体" w:hAnsi="宋体" w:cs="宋体"/>
                <w:i w:val="0"/>
                <w:color w:val="000000"/>
                <w:kern w:val="0"/>
                <w:sz w:val="21"/>
                <w:szCs w:val="21"/>
                <w:u w:val="none"/>
                <w:lang w:val="en-US" w:eastAsia="zh-CN" w:bidi="ar"/>
              </w:rPr>
              <w:t>40</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2、投标价高于基准价的，每高一个百分点减0.5分，最多减5分；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w:t>
            </w:r>
            <w:r>
              <w:rPr>
                <w:rFonts w:hint="eastAsia" w:ascii="宋体" w:hAnsi="宋体" w:eastAsia="宋体" w:cs="宋体"/>
                <w:i w:val="0"/>
                <w:color w:val="FF0000"/>
                <w:kern w:val="0"/>
                <w:sz w:val="21"/>
                <w:szCs w:val="21"/>
                <w:u w:val="none"/>
                <w:lang w:val="en-US" w:eastAsia="zh-CN" w:bidi="ar"/>
              </w:rPr>
              <w:t>投标价低于基准价的，每低一个百分点</w:t>
            </w:r>
            <w:r>
              <w:rPr>
                <w:rFonts w:hint="eastAsia" w:ascii="宋体" w:hAnsi="宋体" w:eastAsia="宋体" w:cs="宋体"/>
                <w:i w:val="0"/>
                <w:color w:val="000000"/>
                <w:kern w:val="0"/>
                <w:sz w:val="21"/>
                <w:szCs w:val="21"/>
                <w:u w:val="none"/>
                <w:lang w:val="en-US" w:eastAsia="zh-CN" w:bidi="ar"/>
              </w:rPr>
              <w:t>减</w:t>
            </w:r>
            <w:r>
              <w:rPr>
                <w:rFonts w:hint="eastAsia" w:ascii="宋体" w:hAnsi="宋体" w:eastAsia="宋体" w:cs="宋体"/>
                <w:i w:val="0"/>
                <w:color w:val="FF0000"/>
                <w:kern w:val="0"/>
                <w:sz w:val="21"/>
                <w:szCs w:val="21"/>
                <w:u w:val="none"/>
                <w:lang w:val="en-US" w:eastAsia="zh-CN" w:bidi="ar"/>
              </w:rPr>
              <w:t>0.5分，最多</w:t>
            </w:r>
            <w:r>
              <w:rPr>
                <w:rFonts w:hint="eastAsia" w:ascii="宋体" w:hAnsi="宋体" w:eastAsia="宋体" w:cs="宋体"/>
                <w:i w:val="0"/>
                <w:color w:val="000000"/>
                <w:kern w:val="0"/>
                <w:sz w:val="21"/>
                <w:szCs w:val="21"/>
                <w:u w:val="none"/>
                <w:lang w:val="en-US" w:eastAsia="zh-CN" w:bidi="ar"/>
              </w:rPr>
              <w:t>减</w:t>
            </w:r>
            <w:r>
              <w:rPr>
                <w:rFonts w:hint="eastAsia" w:ascii="宋体" w:hAnsi="宋体" w:eastAsia="宋体" w:cs="宋体"/>
                <w:i w:val="0"/>
                <w:color w:val="FF0000"/>
                <w:kern w:val="0"/>
                <w:sz w:val="21"/>
                <w:szCs w:val="21"/>
                <w:u w:val="none"/>
                <w:lang w:val="en-US" w:eastAsia="zh-CN" w:bidi="ar"/>
              </w:rPr>
              <w:t>5分。</w:t>
            </w:r>
            <w:r>
              <w:rPr>
                <w:rStyle w:val="77"/>
                <w:lang w:val="en-US" w:eastAsia="zh-CN" w:bidi="ar"/>
              </w:rPr>
              <w:br w:type="textWrapping"/>
            </w:r>
            <w:r>
              <w:rPr>
                <w:rStyle w:val="77"/>
                <w:lang w:val="en-US" w:eastAsia="zh-CN" w:bidi="ar"/>
              </w:rPr>
              <w:t>注：中间值按比例内插，保留两位小数。</w:t>
            </w:r>
            <w:r>
              <w:rPr>
                <w:rStyle w:val="77"/>
                <w:lang w:val="en-US" w:eastAsia="zh-CN" w:bidi="ar"/>
              </w:rPr>
              <w:br w:type="textWrapping"/>
            </w:r>
            <w:r>
              <w:rPr>
                <w:rStyle w:val="77"/>
                <w:lang w:val="en-US" w:eastAsia="zh-CN" w:bidi="ar"/>
              </w:rPr>
              <w:t>根据《政府采购货物和服务招标投标管理办法》87号令第六十条 评标委员会认为供应商的报价明显低于其他通过符合性审查供应商的报价，有可能影响产品质量或者不能诚信履约的，应当要求其在评标现场合理的时间内提供书面说明，必要时提交相关证明材料（相关证明材料指同类项目的合同）；供应商不能证明其报价合理性的，评标委员会应当将其作为无效投标处理。</w:t>
            </w:r>
          </w:p>
        </w:tc>
      </w:tr>
      <w:tr>
        <w:tblPrEx>
          <w:shd w:val="clear" w:color="auto" w:fill="auto"/>
          <w:tblCellMar>
            <w:top w:w="0" w:type="dxa"/>
            <w:left w:w="0" w:type="dxa"/>
            <w:bottom w:w="0" w:type="dxa"/>
            <w:right w:w="0"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技术评价项（30分）</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承保方案（ 6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服务标准、承保流程、大额保险投诉处理及应急处置机制方案合理、流程清晰、内容明确计6分；有缺漏项或不符合要求的，每处扣1分；未提供的计0分。</w:t>
            </w:r>
          </w:p>
        </w:tc>
      </w:tr>
      <w:tr>
        <w:tblPrEx>
          <w:tblCellMar>
            <w:top w:w="0" w:type="dxa"/>
            <w:left w:w="0" w:type="dxa"/>
            <w:bottom w:w="0" w:type="dxa"/>
            <w:right w:w="0"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理赔方案（6分）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理赔服务方案完善、易于操作、方案合理、流程清晰、内容明确计6分；有缺漏项或不符合要求的，每处扣1分；未提供的计0分。</w:t>
            </w:r>
          </w:p>
        </w:tc>
      </w:tr>
      <w:tr>
        <w:tblPrEx>
          <w:tblCellMar>
            <w:top w:w="0" w:type="dxa"/>
            <w:left w:w="0" w:type="dxa"/>
            <w:bottom w:w="0" w:type="dxa"/>
            <w:right w:w="0"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保险培训方案（ 6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制定的培训计划详细、内容丰富、可实施性强计6分；有缺漏项或不符合要求的，每处扣1分；未提供的计0分。</w:t>
            </w:r>
          </w:p>
        </w:tc>
      </w:tr>
      <w:tr>
        <w:tblPrEx>
          <w:tblCellMar>
            <w:top w:w="0" w:type="dxa"/>
            <w:left w:w="0" w:type="dxa"/>
            <w:bottom w:w="0" w:type="dxa"/>
            <w:right w:w="0" w:type="dxa"/>
          </w:tblCellMar>
        </w:tblPrEx>
        <w:trPr>
          <w:trHeight w:val="2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人员配置方案（ 6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服务人员安排合理,团队人员的从业经验丰富、技术能力强，项目负责人为市级分公司总经理助理或以上级别并具有10年及以上保险从业经验计2分，服务人员包含承保对接人、理赔对接人、培训负责人、客服负责人,满足计2分,另每增加1人加</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分,最高</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(提供任职文件、工作证明、社会保险证明（至投标截止时间最近6个月内连续3个月的缴费）并加盖投标人公章,否则不计分。)</w:t>
            </w:r>
          </w:p>
        </w:tc>
      </w:tr>
      <w:tr>
        <w:tblPrEx>
          <w:tblCellMar>
            <w:top w:w="0" w:type="dxa"/>
            <w:left w:w="0" w:type="dxa"/>
            <w:bottom w:w="0" w:type="dxa"/>
            <w:right w:w="0"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风险管理建议（ 6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投标人对本项目的风险认识的全面性和准确性。评委可根据投标人提交的风险管理建议是否全面，是否准确进行综合评判打分。最优计6分；较优计4分；一般计2分；其它不计分。</w:t>
            </w:r>
          </w:p>
        </w:tc>
      </w:tr>
      <w:tr>
        <w:tblPrEx>
          <w:tblCellMar>
            <w:top w:w="0" w:type="dxa"/>
            <w:left w:w="0" w:type="dxa"/>
            <w:bottom w:w="0" w:type="dxa"/>
            <w:right w:w="0" w:type="dxa"/>
          </w:tblCellMar>
        </w:tblPrEx>
        <w:trPr>
          <w:trHeight w:val="1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商务部分（计30分）</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亿元保费投诉量（ 10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参加遴选的承保机构所属省公司2022年亿元保费投诉量计分，亿元保费投诉量（件/亿元）小于1.2（含）的计10分，1.2-1.3（含）计8分，1.3-1.4（含）计6分，1.4-1.5（含）计4分，1.5-1.6（含）计2分，1.6以上计1分。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FF0000"/>
                <w:kern w:val="0"/>
                <w:sz w:val="21"/>
                <w:szCs w:val="21"/>
                <w:u w:val="none"/>
                <w:lang w:val="en-US" w:eastAsia="zh-CN" w:bidi="ar"/>
              </w:rPr>
              <w:t>提供中国银保监会湖南监管局办公室《关于2022年辖内保险消费投诉情况的通报》文件</w:t>
            </w:r>
          </w:p>
        </w:tc>
      </w:tr>
      <w:tr>
        <w:tblPrEx>
          <w:tblCellMar>
            <w:top w:w="0" w:type="dxa"/>
            <w:left w:w="0" w:type="dxa"/>
            <w:bottom w:w="0" w:type="dxa"/>
            <w:right w:w="0" w:type="dxa"/>
          </w:tblCellMar>
        </w:tblPrEx>
        <w:trPr>
          <w:trHeight w:val="1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经营评价（8分）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中国保险行业协会关于2021年度保险公司法人机构经营评价结果，经营评价结果为A的计8分，评价结果为B的计4分，评价结果为C的计2分.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FF0000"/>
                <w:kern w:val="0"/>
                <w:sz w:val="21"/>
                <w:szCs w:val="21"/>
                <w:u w:val="none"/>
                <w:lang w:val="en-US" w:eastAsia="zh-CN" w:bidi="ar"/>
              </w:rPr>
              <w:t>提供中国保险行业协会《关于2021年度保险公司法人机构经营评价结果的公告》</w:t>
            </w:r>
          </w:p>
        </w:tc>
      </w:tr>
      <w:tr>
        <w:tblPrEx>
          <w:tblCellMar>
            <w:top w:w="0" w:type="dxa"/>
            <w:left w:w="0" w:type="dxa"/>
            <w:bottom w:w="0" w:type="dxa"/>
            <w:right w:w="0" w:type="dxa"/>
          </w:tblCellMar>
        </w:tblPrEx>
        <w:trPr>
          <w:trHeight w:val="11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业务经验（5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投标人或其</w:t>
            </w:r>
            <w:r>
              <w:rPr>
                <w:rFonts w:hint="eastAsia" w:ascii="宋体" w:hAnsi="宋体" w:eastAsia="宋体" w:cs="宋体"/>
                <w:i w:val="0"/>
                <w:color w:val="FF0000"/>
                <w:kern w:val="0"/>
                <w:sz w:val="21"/>
                <w:szCs w:val="21"/>
                <w:u w:val="none"/>
                <w:lang w:val="en-US" w:eastAsia="zh-CN" w:bidi="ar"/>
              </w:rPr>
              <w:t>市级</w:t>
            </w:r>
            <w:r>
              <w:rPr>
                <w:rStyle w:val="77"/>
                <w:lang w:val="en-US" w:eastAsia="zh-CN" w:bidi="ar"/>
              </w:rPr>
              <w:t>公司的下属各分支机构近三年（2020年10月1日起）至少承担过1个保费不低于15万的水电站财产保险项目业绩计5分，不能提供相关业绩的本项计0分。提供保单复印件或保单抄件复印件</w:t>
            </w:r>
          </w:p>
        </w:tc>
      </w:tr>
      <w:tr>
        <w:tblPrEx>
          <w:tblCellMar>
            <w:top w:w="0" w:type="dxa"/>
            <w:left w:w="0" w:type="dxa"/>
            <w:bottom w:w="0" w:type="dxa"/>
            <w:right w:w="0" w:type="dxa"/>
          </w:tblCellMar>
        </w:tblPrEx>
        <w:trPr>
          <w:trHeight w:val="1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赔付能力（5 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参加遴选的承保机构所属总公司2022年综合偿付能力充足率计分，综合偿付能力充足率为220%（含）以上的计</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分，220%-210%（含）的计</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分，210%-200%（含）的计</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分，200%-190%（含）的计</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分，190%以下的计</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分。</w:t>
            </w:r>
          </w:p>
        </w:tc>
      </w:tr>
      <w:tr>
        <w:tblPrEx>
          <w:tblCellMar>
            <w:top w:w="0" w:type="dxa"/>
            <w:left w:w="0" w:type="dxa"/>
            <w:bottom w:w="0" w:type="dxa"/>
            <w:right w:w="0"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1"/>
                <w:szCs w:val="21"/>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对投标文件的编制及完整性的评价（ 2分）</w:t>
            </w:r>
          </w:p>
        </w:tc>
        <w:tc>
          <w:tcPr>
            <w:tcW w:w="5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投标文件按招标文件规定的格式、顺序编制，有目录、编页码，装订成册，书面整洁无涂改，没有缺漏项，前后表述一致、价格数量等计算准确的计2分；不符合要求的一处扣0.5分，扣完为止。</w:t>
            </w:r>
          </w:p>
        </w:tc>
      </w:tr>
    </w:tbl>
    <w:p>
      <w:pPr>
        <w:adjustRightInd w:val="0"/>
        <w:snapToGrid w:val="0"/>
        <w:spacing w:before="0" w:beforeLines="0" w:line="240" w:lineRule="auto"/>
        <w:jc w:val="center"/>
        <w:rPr>
          <w:rFonts w:hint="eastAsia" w:ascii="黑体" w:eastAsia="黑体"/>
          <w:b/>
          <w:color w:val="auto"/>
          <w:sz w:val="32"/>
          <w:szCs w:val="32"/>
          <w:highlight w:val="none"/>
        </w:rPr>
      </w:pPr>
    </w:p>
    <w:p>
      <w:pPr>
        <w:adjustRightInd w:val="0"/>
        <w:snapToGrid w:val="0"/>
        <w:spacing w:before="0" w:beforeLines="0" w:line="240" w:lineRule="auto"/>
        <w:jc w:val="center"/>
        <w:rPr>
          <w:rFonts w:hint="eastAsia" w:ascii="黑体" w:eastAsia="黑体"/>
          <w:b/>
          <w:color w:val="auto"/>
          <w:sz w:val="32"/>
          <w:szCs w:val="32"/>
          <w:highlight w:val="none"/>
        </w:rPr>
      </w:pPr>
    </w:p>
    <w:p>
      <w:pPr>
        <w:adjustRightInd w:val="0"/>
        <w:snapToGrid w:val="0"/>
        <w:spacing w:before="0" w:beforeLines="0" w:line="240" w:lineRule="auto"/>
        <w:jc w:val="center"/>
        <w:rPr>
          <w:rFonts w:hint="eastAsia" w:ascii="黑体" w:eastAsia="黑体"/>
          <w:b/>
          <w:color w:val="auto"/>
          <w:sz w:val="32"/>
          <w:szCs w:val="32"/>
          <w:highlight w:val="none"/>
        </w:rPr>
      </w:pPr>
    </w:p>
    <w:p>
      <w:pPr>
        <w:adjustRightInd w:val="0"/>
        <w:snapToGrid w:val="0"/>
        <w:spacing w:before="0" w:beforeLines="0" w:line="240" w:lineRule="auto"/>
        <w:jc w:val="center"/>
        <w:rPr>
          <w:rFonts w:hint="eastAsia" w:ascii="黑体" w:eastAsia="黑体"/>
          <w:b/>
          <w:color w:val="auto"/>
          <w:sz w:val="32"/>
          <w:szCs w:val="32"/>
          <w:highlight w:val="none"/>
        </w:rPr>
      </w:pPr>
    </w:p>
    <w:p>
      <w:pPr>
        <w:adjustRightInd w:val="0"/>
        <w:snapToGrid w:val="0"/>
        <w:spacing w:before="0" w:beforeLines="0" w:line="240" w:lineRule="auto"/>
        <w:jc w:val="center"/>
        <w:rPr>
          <w:rFonts w:hint="eastAsia" w:ascii="黑体" w:eastAsia="黑体"/>
          <w:b/>
          <w:color w:val="auto"/>
          <w:sz w:val="32"/>
          <w:szCs w:val="32"/>
          <w:highlight w:val="none"/>
        </w:rPr>
      </w:pPr>
    </w:p>
    <w:p>
      <w:pPr>
        <w:adjustRightInd w:val="0"/>
        <w:snapToGrid w:val="0"/>
        <w:spacing w:before="0" w:beforeLines="0" w:line="240" w:lineRule="auto"/>
        <w:jc w:val="both"/>
        <w:rPr>
          <w:rFonts w:hint="eastAsia" w:ascii="黑体" w:eastAsia="黑体"/>
          <w:b/>
          <w:color w:val="auto"/>
          <w:sz w:val="32"/>
          <w:szCs w:val="32"/>
          <w:highlight w:val="none"/>
        </w:rPr>
      </w:pPr>
    </w:p>
    <w:p>
      <w:pPr>
        <w:adjustRightInd w:val="0"/>
        <w:snapToGrid w:val="0"/>
        <w:spacing w:before="0" w:beforeLines="0" w:line="240" w:lineRule="auto"/>
        <w:jc w:val="center"/>
        <w:rPr>
          <w:rFonts w:hint="eastAsia" w:ascii="黑体" w:eastAsia="黑体"/>
          <w:b/>
          <w:color w:val="auto"/>
          <w:sz w:val="32"/>
          <w:szCs w:val="32"/>
          <w:highlight w:val="none"/>
        </w:rPr>
      </w:pPr>
    </w:p>
    <w:p>
      <w:pPr>
        <w:pStyle w:val="4"/>
        <w:ind w:left="0" w:leftChars="0" w:firstLine="0" w:firstLineChars="0"/>
        <w:jc w:val="both"/>
        <w:rPr>
          <w:rFonts w:hint="eastAsia"/>
        </w:rPr>
      </w:pPr>
    </w:p>
    <w:p>
      <w:pPr>
        <w:adjustRightInd w:val="0"/>
        <w:snapToGrid w:val="0"/>
        <w:spacing w:before="0" w:beforeLines="0" w:line="240" w:lineRule="auto"/>
        <w:jc w:val="center"/>
        <w:rPr>
          <w:rFonts w:hint="eastAsia" w:ascii="黑体" w:eastAsia="黑体"/>
          <w:b/>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w:t>
      </w:r>
      <w:r>
        <w:rPr>
          <w:rFonts w:hint="eastAsia" w:ascii="黑体" w:eastAsia="黑体"/>
          <w:b/>
          <w:color w:val="auto"/>
          <w:sz w:val="32"/>
          <w:szCs w:val="32"/>
          <w:highlight w:val="none"/>
        </w:rPr>
        <w:t xml:space="preserve">章  </w:t>
      </w:r>
      <w:r>
        <w:rPr>
          <w:rFonts w:hint="eastAsia" w:ascii="黑体" w:hAnsi="华文中宋" w:eastAsia="黑体"/>
          <w:b/>
          <w:bCs/>
          <w:color w:val="auto"/>
          <w:sz w:val="32"/>
          <w:szCs w:val="32"/>
          <w:highlight w:val="none"/>
          <w:lang w:eastAsia="zh-CN"/>
        </w:rPr>
        <w:t>采购</w:t>
      </w:r>
      <w:r>
        <w:rPr>
          <w:rFonts w:hint="eastAsia" w:ascii="黑体" w:hAnsi="华文中宋" w:eastAsia="黑体"/>
          <w:b/>
          <w:bCs/>
          <w:color w:val="auto"/>
          <w:sz w:val="32"/>
          <w:szCs w:val="32"/>
          <w:highlight w:val="none"/>
        </w:rPr>
        <w:t>合同格式</w:t>
      </w:r>
    </w:p>
    <w:p>
      <w:pPr>
        <w:pStyle w:val="6"/>
        <w:adjustRightInd w:val="0"/>
        <w:snapToGrid w:val="0"/>
        <w:spacing w:beforeLines="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lang w:eastAsia="zh-CN"/>
        </w:rPr>
        <w:t>采购</w:t>
      </w:r>
      <w:r>
        <w:rPr>
          <w:rFonts w:hint="eastAsia" w:ascii="黑体" w:hAnsi="华文中宋" w:eastAsia="黑体"/>
          <w:color w:val="auto"/>
          <w:sz w:val="28"/>
          <w:szCs w:val="28"/>
          <w:highlight w:val="none"/>
        </w:rPr>
        <w:t>合同协议书</w:t>
      </w:r>
    </w:p>
    <w:p>
      <w:pPr>
        <w:adjustRightInd w:val="0"/>
        <w:snapToGrid w:val="0"/>
        <w:spacing w:before="0" w:beforeLines="0" w:line="360" w:lineRule="auto"/>
        <w:ind w:firstLine="5460" w:firstLineChars="2600"/>
        <w:rPr>
          <w:rFonts w:ascii="宋体" w:hAnsi="宋体" w:eastAsia="宋体"/>
          <w:b/>
          <w:color w:val="auto"/>
          <w:szCs w:val="21"/>
          <w:highlight w:val="none"/>
        </w:rPr>
      </w:pPr>
      <w:r>
        <w:rPr>
          <w:rFonts w:hint="eastAsia" w:ascii="宋体" w:hAnsi="宋体" w:eastAsia="宋体"/>
          <w:color w:val="auto"/>
          <w:szCs w:val="21"/>
          <w:highlight w:val="none"/>
        </w:rPr>
        <w:t>采购合同编号：</w:t>
      </w:r>
      <w:r>
        <w:rPr>
          <w:rFonts w:ascii="宋体" w:hAnsi="宋体" w:eastAsia="宋体"/>
          <w:color w:val="auto"/>
          <w:szCs w:val="21"/>
          <w:highlight w:val="none"/>
          <w:u w:val="single"/>
        </w:rPr>
        <w:t xml:space="preserve">                 </w:t>
      </w:r>
    </w:p>
    <w:p>
      <w:pPr>
        <w:adjustRightInd w:val="0"/>
        <w:snapToGrid w:val="0"/>
        <w:spacing w:before="0" w:beforeLines="0" w:line="360" w:lineRule="auto"/>
        <w:jc w:val="center"/>
        <w:rPr>
          <w:rFonts w:ascii="宋体" w:hAnsi="宋体" w:eastAsia="宋体"/>
          <w:b/>
          <w:color w:val="auto"/>
          <w:szCs w:val="21"/>
          <w:highlight w:val="none"/>
        </w:rPr>
      </w:pP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采购人（全称）：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（甲方）</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供应商（全称）：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（乙方）</w:t>
      </w:r>
    </w:p>
    <w:p>
      <w:pPr>
        <w:pStyle w:val="14"/>
        <w:adjustRightInd w:val="0"/>
        <w:snapToGrid w:val="0"/>
        <w:spacing w:before="0" w:beforeLines="0" w:after="0" w:line="360" w:lineRule="auto"/>
        <w:ind w:left="0" w:leftChars="0"/>
        <w:rPr>
          <w:rFonts w:ascii="宋体" w:hAnsi="宋体" w:eastAsia="宋体"/>
          <w:color w:val="auto"/>
          <w:szCs w:val="21"/>
          <w:highlight w:val="none"/>
        </w:rPr>
      </w:pPr>
    </w:p>
    <w:p>
      <w:pPr>
        <w:pStyle w:val="14"/>
        <w:adjustRightInd w:val="0"/>
        <w:snapToGrid w:val="0"/>
        <w:spacing w:before="0" w:beforeLines="0" w:after="0" w:line="360" w:lineRule="auto"/>
        <w:ind w:left="0" w:leftChars="0" w:firstLine="420" w:firstLineChars="200"/>
        <w:rPr>
          <w:rFonts w:ascii="宋体" w:hAnsi="宋体" w:eastAsia="宋体"/>
          <w:color w:val="auto"/>
          <w:szCs w:val="21"/>
          <w:highlight w:val="none"/>
        </w:rPr>
      </w:pPr>
      <w:r>
        <w:rPr>
          <w:rFonts w:hint="eastAsia" w:ascii="宋体" w:hAnsi="宋体" w:eastAsia="宋体"/>
          <w:color w:val="auto"/>
          <w:szCs w:val="21"/>
          <w:highlight w:val="none"/>
        </w:rPr>
        <w:t>为了保护甲、乙双方合法权益，根据《中华人民共和国合同法》、《中华人民共和国政府采购法》及其他有关法律、法规、规章，双方签订本合同协议书。</w:t>
      </w:r>
    </w:p>
    <w:p>
      <w:pPr>
        <w:adjustRightInd w:val="0"/>
        <w:snapToGrid w:val="0"/>
        <w:spacing w:before="0" w:beforeLines="0"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1.项目信息</w:t>
      </w:r>
    </w:p>
    <w:p>
      <w:pPr>
        <w:pStyle w:val="14"/>
        <w:adjustRightInd w:val="0"/>
        <w:snapToGrid w:val="0"/>
        <w:spacing w:before="0" w:beforeLines="0" w:after="0" w:line="360" w:lineRule="auto"/>
        <w:ind w:left="0" w:leftChars="0"/>
        <w:rPr>
          <w:rFonts w:ascii="宋体" w:hAnsi="宋体" w:eastAsia="宋体"/>
          <w:color w:val="auto"/>
          <w:szCs w:val="21"/>
          <w:highlight w:val="none"/>
        </w:rPr>
      </w:pPr>
      <w:r>
        <w:rPr>
          <w:rFonts w:hint="eastAsia" w:ascii="宋体" w:hAnsi="宋体" w:eastAsia="宋体"/>
          <w:color w:val="auto"/>
          <w:szCs w:val="21"/>
          <w:highlight w:val="none"/>
        </w:rPr>
        <w:t>（1）采购项目名称：</w:t>
      </w:r>
      <w:r>
        <w:rPr>
          <w:rFonts w:ascii="宋体" w:hAnsi="宋体" w:eastAsia="宋体"/>
          <w:color w:val="auto"/>
          <w:szCs w:val="21"/>
          <w:highlight w:val="none"/>
          <w:u w:val="single"/>
        </w:rPr>
        <w:t xml:space="preserve">          </w:t>
      </w:r>
    </w:p>
    <w:p>
      <w:pPr>
        <w:pStyle w:val="14"/>
        <w:adjustRightInd w:val="0"/>
        <w:snapToGrid w:val="0"/>
        <w:spacing w:before="0" w:beforeLines="0" w:after="0" w:line="360" w:lineRule="auto"/>
        <w:ind w:left="0" w:leftChars="0"/>
        <w:rPr>
          <w:rFonts w:ascii="宋体" w:hAnsi="宋体" w:eastAsia="宋体"/>
          <w:color w:val="auto"/>
          <w:szCs w:val="21"/>
          <w:highlight w:val="none"/>
        </w:rPr>
      </w:pPr>
      <w:r>
        <w:rPr>
          <w:rFonts w:hint="eastAsia" w:ascii="宋体" w:hAnsi="宋体" w:eastAsia="宋体"/>
          <w:color w:val="auto"/>
          <w:szCs w:val="21"/>
          <w:highlight w:val="none"/>
        </w:rPr>
        <w:t>（2）采购计划编号：</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（3）项目内容：</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（4）项目负责人：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w:t>
      </w:r>
    </w:p>
    <w:p>
      <w:pPr>
        <w:adjustRightInd w:val="0"/>
        <w:snapToGrid w:val="0"/>
        <w:spacing w:before="0" w:beforeLines="0" w:line="360" w:lineRule="auto"/>
        <w:ind w:firstLine="413" w:firstLineChars="196"/>
        <w:rPr>
          <w:rFonts w:ascii="宋体" w:hAnsi="宋体" w:eastAsia="宋体"/>
          <w:b/>
          <w:color w:val="auto"/>
          <w:szCs w:val="21"/>
          <w:highlight w:val="none"/>
        </w:rPr>
      </w:pPr>
      <w:r>
        <w:rPr>
          <w:rFonts w:hint="eastAsia" w:ascii="宋体" w:hAnsi="宋体" w:eastAsia="宋体"/>
          <w:b/>
          <w:color w:val="auto"/>
          <w:szCs w:val="21"/>
          <w:highlight w:val="none"/>
        </w:rPr>
        <w:t>2.合同金额</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（1）合同金额小写：</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1260" w:firstLineChars="600"/>
        <w:rPr>
          <w:rFonts w:ascii="宋体" w:hAnsi="宋体" w:eastAsia="宋体"/>
          <w:b/>
          <w:color w:val="auto"/>
          <w:szCs w:val="21"/>
          <w:highlight w:val="none"/>
        </w:rPr>
      </w:pPr>
      <w:r>
        <w:rPr>
          <w:rFonts w:hint="eastAsia" w:ascii="宋体" w:hAnsi="宋体" w:eastAsia="宋体"/>
          <w:color w:val="auto"/>
          <w:szCs w:val="21"/>
          <w:highlight w:val="none"/>
        </w:rPr>
        <w:t>大写：</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（2）具体标的见附件。</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（3）合同价格形式：</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w:t>
      </w:r>
    </w:p>
    <w:p>
      <w:pPr>
        <w:adjustRightInd w:val="0"/>
        <w:snapToGrid w:val="0"/>
        <w:spacing w:before="0" w:beforeLines="0" w:line="360" w:lineRule="auto"/>
        <w:ind w:firstLine="422" w:firstLineChars="200"/>
        <w:rPr>
          <w:rFonts w:ascii="宋体" w:hAnsi="宋体" w:eastAsia="宋体"/>
          <w:color w:val="auto"/>
          <w:szCs w:val="21"/>
          <w:highlight w:val="none"/>
          <w:u w:val="single"/>
        </w:rPr>
      </w:pPr>
      <w:r>
        <w:rPr>
          <w:rFonts w:hint="eastAsia" w:ascii="宋体" w:hAnsi="宋体" w:eastAsia="宋体"/>
          <w:b/>
          <w:color w:val="auto"/>
          <w:szCs w:val="21"/>
          <w:highlight w:val="none"/>
        </w:rPr>
        <w:t>3.履行合同的时间、地点及方式</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630" w:firstLineChars="300"/>
        <w:rPr>
          <w:rFonts w:ascii="宋体" w:hAnsi="宋体" w:eastAsia="宋体"/>
          <w:color w:val="auto"/>
          <w:szCs w:val="21"/>
          <w:highlight w:val="none"/>
        </w:rPr>
      </w:pPr>
      <w:r>
        <w:rPr>
          <w:rFonts w:hint="eastAsia" w:ascii="宋体" w:hAnsi="宋体" w:eastAsia="宋体"/>
          <w:color w:val="auto"/>
          <w:szCs w:val="21"/>
          <w:highlight w:val="none"/>
        </w:rPr>
        <w:t>起始日期：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日，完成日期：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日。总日历天数：</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天。</w:t>
      </w:r>
    </w:p>
    <w:p>
      <w:pPr>
        <w:adjustRightInd w:val="0"/>
        <w:snapToGrid w:val="0"/>
        <w:spacing w:before="0" w:beforeLines="0" w:line="360" w:lineRule="auto"/>
        <w:ind w:firstLine="630" w:firstLineChars="300"/>
        <w:rPr>
          <w:rFonts w:ascii="宋体" w:hAnsi="宋体" w:eastAsia="宋体"/>
          <w:color w:val="auto"/>
          <w:szCs w:val="21"/>
          <w:highlight w:val="none"/>
          <w:u w:val="single"/>
        </w:rPr>
      </w:pPr>
      <w:r>
        <w:rPr>
          <w:rFonts w:hint="eastAsia" w:ascii="宋体" w:hAnsi="宋体" w:eastAsia="宋体"/>
          <w:color w:val="auto"/>
          <w:szCs w:val="21"/>
          <w:highlight w:val="none"/>
        </w:rPr>
        <w:t>地点</w:t>
      </w:r>
      <w:r>
        <w:rPr>
          <w:rFonts w:hint="eastAsia" w:ascii="宋体" w:hAnsi="宋体" w:eastAsia="宋体"/>
          <w:b/>
          <w:color w:val="auto"/>
          <w:szCs w:val="21"/>
          <w:highlight w:val="none"/>
        </w:rPr>
        <w:t>：</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630" w:firstLineChars="300"/>
        <w:rPr>
          <w:rFonts w:ascii="宋体" w:hAnsi="宋体" w:eastAsia="宋体"/>
          <w:color w:val="auto"/>
          <w:szCs w:val="21"/>
          <w:highlight w:val="none"/>
        </w:rPr>
      </w:pPr>
      <w:r>
        <w:rPr>
          <w:rFonts w:hint="eastAsia" w:ascii="宋体" w:hAnsi="宋体" w:eastAsia="宋体"/>
          <w:color w:val="auto"/>
          <w:szCs w:val="21"/>
          <w:highlight w:val="none"/>
        </w:rPr>
        <w:t>方式：</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4.付款：</w:t>
      </w:r>
    </w:p>
    <w:p>
      <w:pPr>
        <w:adjustRightInd w:val="0"/>
        <w:snapToGrid w:val="0"/>
        <w:spacing w:before="0" w:beforeLines="0" w:line="360" w:lineRule="auto"/>
        <w:ind w:firstLine="630" w:firstLineChars="300"/>
        <w:rPr>
          <w:rFonts w:ascii="宋体" w:hAnsi="宋体" w:eastAsia="宋体"/>
          <w:bCs/>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w:t>
      </w:r>
    </w:p>
    <w:p>
      <w:pPr>
        <w:adjustRightInd w:val="0"/>
        <w:snapToGrid w:val="0"/>
        <w:spacing w:before="0" w:beforeLines="0" w:line="360" w:lineRule="auto"/>
        <w:ind w:firstLine="630" w:firstLineChars="300"/>
        <w:rPr>
          <w:rFonts w:hint="eastAsia" w:ascii="宋体" w:hAnsi="宋体" w:eastAsia="宋体"/>
          <w:bCs/>
          <w:color w:val="auto"/>
          <w:szCs w:val="21"/>
          <w:highlight w:val="none"/>
        </w:rPr>
      </w:pPr>
      <w:r>
        <w:rPr>
          <w:rFonts w:hint="eastAsia" w:ascii="宋体" w:hAnsi="宋体" w:eastAsia="宋体"/>
          <w:bCs/>
          <w:color w:val="auto"/>
          <w:szCs w:val="21"/>
          <w:highlight w:val="none"/>
        </w:rPr>
        <w:t>2、预付款根据采购文件的约定，</w:t>
      </w:r>
      <w:r>
        <w:rPr>
          <w:rFonts w:hint="eastAsia" w:ascii="宋体" w:hAnsi="宋体" w:eastAsia="宋体"/>
          <w:bCs/>
          <w:color w:val="auto"/>
          <w:szCs w:val="21"/>
          <w:highlight w:val="none"/>
          <w:lang w:eastAsia="zh-CN"/>
        </w:rPr>
        <w:t>原则上</w:t>
      </w:r>
      <w:r>
        <w:rPr>
          <w:rFonts w:hint="eastAsia" w:ascii="宋体" w:hAnsi="宋体" w:eastAsia="宋体"/>
          <w:bCs/>
          <w:color w:val="auto"/>
          <w:szCs w:val="21"/>
          <w:highlight w:val="none"/>
        </w:rPr>
        <w:t>不提供预付款。</w:t>
      </w:r>
    </w:p>
    <w:p>
      <w:pPr>
        <w:pStyle w:val="28"/>
        <w:spacing w:beforeLines="0" w:after="0" w:line="360" w:lineRule="auto"/>
        <w:ind w:left="0" w:leftChars="0" w:firstLine="630" w:firstLineChars="300"/>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3、在满足资金支付条件后30日内按约定付款方式支付合同价款。</w:t>
      </w:r>
    </w:p>
    <w:p>
      <w:pPr>
        <w:pStyle w:val="49"/>
        <w:spacing w:beforeLines="0" w:after="0" w:line="360" w:lineRule="auto"/>
        <w:ind w:left="0" w:leftChars="0" w:firstLine="0" w:firstLineChars="0"/>
        <w:rPr>
          <w:rFonts w:hint="eastAsia" w:eastAsia="宋体"/>
          <w:color w:val="auto"/>
          <w:highlight w:val="none"/>
          <w:lang w:val="en-US" w:eastAsia="zh-CN"/>
        </w:rPr>
      </w:pPr>
      <w:r>
        <w:rPr>
          <w:rFonts w:hint="eastAsia" w:ascii="宋体" w:hAnsi="宋体" w:cs="Times New Roman"/>
          <w:b w:val="0"/>
          <w:bCs/>
          <w:color w:val="auto"/>
          <w:kern w:val="2"/>
          <w:sz w:val="21"/>
          <w:szCs w:val="21"/>
          <w:highlight w:val="none"/>
          <w:lang w:val="en-US" w:eastAsia="zh-CN" w:bidi="ar-SA"/>
        </w:rPr>
        <w:t xml:space="preserve">      4、甲方未履行及时付款义务的违约责任：乙方可要求甲方支付延迟支付款项按同期银行贷款利率计算的违约金，乙方履行不符合约定的除外。</w:t>
      </w:r>
    </w:p>
    <w:p>
      <w:pPr>
        <w:adjustRightInd w:val="0"/>
        <w:snapToGrid w:val="0"/>
        <w:spacing w:before="0" w:beforeLines="0"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5.解决合同纠纷方式</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首先通过双方协商解决，协商解决不成，则通过以下途径之一解决纠纷：</w:t>
      </w:r>
    </w:p>
    <w:p>
      <w:pPr>
        <w:adjustRightInd w:val="0"/>
        <w:snapToGrid w:val="0"/>
        <w:spacing w:before="0" w:beforeLines="0" w:line="360" w:lineRule="auto"/>
        <w:ind w:firstLine="840" w:firstLineChars="400"/>
        <w:rPr>
          <w:rFonts w:ascii="宋体" w:hAnsi="宋体" w:eastAsia="宋体"/>
          <w:color w:val="auto"/>
          <w:szCs w:val="21"/>
          <w:highlight w:val="none"/>
        </w:rPr>
      </w:pPr>
      <w:r>
        <w:rPr>
          <w:rFonts w:hint="eastAsia" w:ascii="宋体" w:hAnsi="宋体" w:eastAsia="宋体"/>
          <w:color w:val="auto"/>
          <w:szCs w:val="21"/>
          <w:highlight w:val="none"/>
        </w:rPr>
        <w:t>□ 提请仲裁       ☑ 向人民法院提起诉讼</w:t>
      </w:r>
    </w:p>
    <w:p>
      <w:pPr>
        <w:adjustRightInd w:val="0"/>
        <w:snapToGrid w:val="0"/>
        <w:spacing w:before="0" w:beforeLines="0"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6.组成合同的文件</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本协议书与下列文件一起构成合同文件，如下述文件之间有任何抵触、矛盾或歧义，应按以下顺序解释：</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（1）在采购或合同履行过程中乙方作出的承诺以及双方协商达成的变更或补充协议</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（2）本合同协议书</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（3）中标通知书</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w:t>
      </w:r>
      <w:r>
        <w:rPr>
          <w:rFonts w:hint="eastAsia" w:ascii="宋体" w:hAnsi="宋体"/>
          <w:color w:val="auto"/>
          <w:szCs w:val="21"/>
          <w:highlight w:val="none"/>
          <w:lang w:eastAsia="zh-CN"/>
        </w:rPr>
        <w:t>采购</w:t>
      </w:r>
      <w:r>
        <w:rPr>
          <w:rFonts w:hint="eastAsia" w:ascii="宋体" w:hAnsi="宋体" w:eastAsia="宋体"/>
          <w:color w:val="auto"/>
          <w:szCs w:val="21"/>
          <w:highlight w:val="none"/>
        </w:rPr>
        <w:t>合同专用条款</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w:t>
      </w:r>
      <w:r>
        <w:rPr>
          <w:rFonts w:hint="eastAsia" w:ascii="宋体" w:hAnsi="宋体"/>
          <w:color w:val="auto"/>
          <w:szCs w:val="21"/>
          <w:highlight w:val="none"/>
          <w:lang w:eastAsia="zh-CN"/>
        </w:rPr>
        <w:t>采购</w:t>
      </w:r>
      <w:r>
        <w:rPr>
          <w:rFonts w:hint="eastAsia" w:ascii="宋体" w:hAnsi="宋体" w:eastAsia="宋体"/>
          <w:color w:val="auto"/>
          <w:szCs w:val="21"/>
          <w:highlight w:val="none"/>
        </w:rPr>
        <w:t>合同通用条款</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（7）标准、规范及有关技术文件，图纸。</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（8）其他合同文件。</w:t>
      </w:r>
    </w:p>
    <w:p>
      <w:pPr>
        <w:adjustRightInd w:val="0"/>
        <w:snapToGrid w:val="0"/>
        <w:spacing w:before="0" w:beforeLines="0" w:line="360" w:lineRule="auto"/>
        <w:ind w:firstLine="310" w:firstLineChars="147"/>
        <w:rPr>
          <w:rFonts w:ascii="宋体" w:hAnsi="宋体" w:eastAsia="宋体"/>
          <w:b/>
          <w:color w:val="auto"/>
          <w:szCs w:val="21"/>
          <w:highlight w:val="none"/>
        </w:rPr>
      </w:pPr>
      <w:r>
        <w:rPr>
          <w:rFonts w:hint="eastAsia" w:ascii="宋体" w:hAnsi="宋体" w:eastAsia="宋体"/>
          <w:b/>
          <w:color w:val="auto"/>
          <w:szCs w:val="21"/>
          <w:highlight w:val="none"/>
        </w:rPr>
        <w:t>7.合同生效</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本合同自</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生效。</w:t>
      </w:r>
    </w:p>
    <w:p>
      <w:pPr>
        <w:adjustRightInd w:val="0"/>
        <w:snapToGrid w:val="0"/>
        <w:spacing w:before="0" w:beforeLines="0" w:line="360" w:lineRule="auto"/>
        <w:ind w:firstLine="310" w:firstLineChars="147"/>
        <w:rPr>
          <w:rFonts w:ascii="宋体" w:hAnsi="宋体" w:eastAsia="宋体"/>
          <w:b/>
          <w:color w:val="auto"/>
          <w:szCs w:val="21"/>
          <w:highlight w:val="none"/>
        </w:rPr>
      </w:pPr>
      <w:r>
        <w:rPr>
          <w:rFonts w:hint="eastAsia" w:ascii="宋体" w:hAnsi="宋体" w:eastAsia="宋体"/>
          <w:b/>
          <w:color w:val="auto"/>
          <w:szCs w:val="21"/>
          <w:highlight w:val="none"/>
        </w:rPr>
        <w:t>8.合同份数</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本合同一式</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份，采购人执</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份，供应商执</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份，均具有同等法律效力。</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合同订立时间：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合同订立地点：</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    </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甲      方：（公章）                     乙      方：（公章）</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法定代表人：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法定代表人：</w:t>
      </w:r>
      <w:r>
        <w:rPr>
          <w:rFonts w:hint="eastAsia" w:ascii="宋体" w:hAnsi="宋体" w:eastAsia="宋体"/>
          <w:color w:val="auto"/>
          <w:szCs w:val="21"/>
          <w:highlight w:val="none"/>
          <w:u w:val="single"/>
        </w:rPr>
        <w:t xml:space="preserve">                   </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委托代理人：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委托代理人：</w:t>
      </w:r>
      <w:r>
        <w:rPr>
          <w:rFonts w:hint="eastAsia" w:ascii="宋体" w:hAnsi="宋体" w:eastAsia="宋体"/>
          <w:color w:val="auto"/>
          <w:szCs w:val="21"/>
          <w:highlight w:val="none"/>
          <w:u w:val="single"/>
        </w:rPr>
        <w:t xml:space="preserve">                   </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电      话：</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电      话：</w:t>
      </w:r>
      <w:r>
        <w:rPr>
          <w:rFonts w:hint="eastAsia" w:ascii="宋体" w:hAnsi="宋体" w:eastAsia="宋体"/>
          <w:color w:val="auto"/>
          <w:szCs w:val="21"/>
          <w:highlight w:val="none"/>
          <w:u w:val="single"/>
        </w:rPr>
        <w:t xml:space="preserve">                   </w:t>
      </w:r>
    </w:p>
    <w:p>
      <w:pPr>
        <w:adjustRightInd w:val="0"/>
        <w:snapToGrid w:val="0"/>
        <w:spacing w:before="0" w:beforeLines="0" w:line="360" w:lineRule="auto"/>
        <w:rPr>
          <w:rFonts w:ascii="宋体" w:hAnsi="宋体" w:eastAsia="宋体"/>
          <w:color w:val="auto"/>
          <w:szCs w:val="21"/>
          <w:highlight w:val="none"/>
        </w:rPr>
      </w:pPr>
      <w:r>
        <w:rPr>
          <w:rFonts w:hint="eastAsia" w:ascii="宋体" w:hAnsi="宋体" w:eastAsia="宋体"/>
          <w:color w:val="auto"/>
          <w:szCs w:val="21"/>
          <w:highlight w:val="none"/>
        </w:rPr>
        <w:t>传      真：</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传      真：</w:t>
      </w:r>
      <w:r>
        <w:rPr>
          <w:rFonts w:hint="eastAsia" w:ascii="宋体" w:hAnsi="宋体" w:eastAsia="宋体"/>
          <w:color w:val="auto"/>
          <w:szCs w:val="21"/>
          <w:highlight w:val="none"/>
          <w:u w:val="single"/>
        </w:rPr>
        <w:t xml:space="preserve">                   </w:t>
      </w:r>
    </w:p>
    <w:p>
      <w:pPr>
        <w:adjustRightInd w:val="0"/>
        <w:snapToGrid w:val="0"/>
        <w:spacing w:before="0" w:beforeLines="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 xml:space="preserve">                                    开 户 银 行：</w:t>
      </w:r>
      <w:r>
        <w:rPr>
          <w:rFonts w:hint="eastAsia" w:ascii="宋体" w:hAnsi="宋体" w:eastAsia="宋体"/>
          <w:color w:val="auto"/>
          <w:szCs w:val="21"/>
          <w:highlight w:val="none"/>
          <w:u w:val="single"/>
        </w:rPr>
        <w:t xml:space="preserve">                   </w:t>
      </w:r>
    </w:p>
    <w:p>
      <w:pPr>
        <w:adjustRightInd w:val="0"/>
        <w:snapToGrid w:val="0"/>
        <w:spacing w:before="0" w:beforeLines="0" w:line="360" w:lineRule="auto"/>
        <w:jc w:val="center"/>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         帐       号：</w:t>
      </w:r>
      <w:r>
        <w:rPr>
          <w:rFonts w:hint="eastAsia" w:ascii="宋体" w:hAnsi="宋体" w:eastAsia="宋体"/>
          <w:color w:val="auto"/>
          <w:szCs w:val="21"/>
          <w:highlight w:val="none"/>
          <w:u w:val="single"/>
        </w:rPr>
        <w:t xml:space="preserve">  </w:t>
      </w:r>
    </w:p>
    <w:p>
      <w:pPr>
        <w:adjustRightInd w:val="0"/>
        <w:snapToGrid w:val="0"/>
        <w:spacing w:before="0" w:beforeLines="0" w:line="360" w:lineRule="auto"/>
        <w:jc w:val="center"/>
        <w:rPr>
          <w:rFonts w:hint="eastAsia" w:ascii="宋体" w:hAnsi="宋体" w:eastAsia="宋体"/>
          <w:color w:val="auto"/>
          <w:szCs w:val="21"/>
          <w:highlight w:val="none"/>
          <w:u w:val="single"/>
        </w:rPr>
      </w:pPr>
    </w:p>
    <w:p>
      <w:pPr>
        <w:adjustRightInd w:val="0"/>
        <w:snapToGrid w:val="0"/>
        <w:spacing w:before="0" w:beforeLines="0" w:line="360" w:lineRule="auto"/>
        <w:jc w:val="center"/>
        <w:rPr>
          <w:rFonts w:hint="eastAsia" w:ascii="宋体" w:hAnsi="宋体" w:eastAsia="宋体"/>
          <w:color w:val="auto"/>
          <w:szCs w:val="21"/>
          <w:highlight w:val="none"/>
          <w:u w:val="single"/>
        </w:rPr>
      </w:pPr>
    </w:p>
    <w:p>
      <w:pPr>
        <w:adjustRightInd w:val="0"/>
        <w:snapToGrid w:val="0"/>
        <w:spacing w:before="0" w:beforeLines="0" w:line="360" w:lineRule="auto"/>
        <w:jc w:val="center"/>
        <w:rPr>
          <w:rFonts w:hint="eastAsia" w:ascii="宋体" w:hAnsi="宋体" w:eastAsia="宋体"/>
          <w:color w:val="auto"/>
          <w:szCs w:val="21"/>
          <w:highlight w:val="none"/>
          <w:u w:val="single"/>
        </w:rPr>
      </w:pPr>
    </w:p>
    <w:p>
      <w:pPr>
        <w:adjustRightInd w:val="0"/>
        <w:snapToGrid w:val="0"/>
        <w:spacing w:before="0" w:beforeLines="0" w:line="360" w:lineRule="auto"/>
        <w:jc w:val="center"/>
        <w:rPr>
          <w:rFonts w:hint="eastAsia" w:ascii="宋体" w:hAnsi="宋体" w:eastAsia="宋体"/>
          <w:color w:val="auto"/>
          <w:szCs w:val="21"/>
          <w:highlight w:val="none"/>
          <w:u w:val="single"/>
        </w:rPr>
      </w:pPr>
    </w:p>
    <w:p>
      <w:pPr>
        <w:pStyle w:val="43"/>
        <w:ind w:left="0" w:leftChars="0" w:firstLine="0" w:firstLineChars="0"/>
        <w:rPr>
          <w:rFonts w:hint="eastAsia" w:ascii="宋体" w:hAnsi="宋体" w:eastAsia="宋体"/>
          <w:color w:val="auto"/>
          <w:szCs w:val="21"/>
          <w:highlight w:val="none"/>
          <w:u w:val="single"/>
        </w:rPr>
      </w:pPr>
    </w:p>
    <w:p>
      <w:pPr>
        <w:pStyle w:val="46"/>
        <w:rPr>
          <w:rFonts w:hint="eastAsia" w:ascii="宋体" w:hAnsi="宋体" w:eastAsia="宋体"/>
          <w:color w:val="auto"/>
          <w:szCs w:val="21"/>
          <w:highlight w:val="none"/>
          <w:u w:val="single"/>
        </w:rPr>
      </w:pPr>
    </w:p>
    <w:p>
      <w:pPr>
        <w:pStyle w:val="46"/>
        <w:rPr>
          <w:rFonts w:hint="eastAsia" w:ascii="宋体" w:hAnsi="宋体" w:eastAsia="宋体"/>
          <w:color w:val="auto"/>
          <w:szCs w:val="21"/>
          <w:highlight w:val="none"/>
          <w:u w:val="single"/>
        </w:rPr>
      </w:pPr>
    </w:p>
    <w:p>
      <w:pPr>
        <w:pStyle w:val="46"/>
        <w:rPr>
          <w:rFonts w:hint="eastAsia" w:ascii="宋体" w:hAnsi="宋体" w:eastAsia="宋体"/>
          <w:color w:val="auto"/>
          <w:szCs w:val="21"/>
          <w:highlight w:val="none"/>
          <w:u w:val="single"/>
        </w:rPr>
      </w:pPr>
    </w:p>
    <w:p>
      <w:pPr>
        <w:pStyle w:val="46"/>
        <w:rPr>
          <w:rFonts w:hint="eastAsia" w:ascii="宋体" w:hAnsi="宋体" w:eastAsia="宋体"/>
          <w:color w:val="auto"/>
          <w:szCs w:val="21"/>
          <w:highlight w:val="none"/>
          <w:u w:val="single"/>
        </w:rPr>
      </w:pPr>
    </w:p>
    <w:p>
      <w:pPr>
        <w:pStyle w:val="46"/>
        <w:rPr>
          <w:rFonts w:hint="eastAsia" w:ascii="宋体" w:hAnsi="宋体" w:eastAsia="宋体"/>
          <w:color w:val="auto"/>
          <w:szCs w:val="21"/>
          <w:highlight w:val="none"/>
          <w:u w:val="single"/>
        </w:rPr>
      </w:pPr>
    </w:p>
    <w:p>
      <w:pPr>
        <w:numPr>
          <w:ilvl w:val="0"/>
          <w:numId w:val="0"/>
        </w:numPr>
        <w:spacing w:line="360" w:lineRule="exact"/>
        <w:jc w:val="center"/>
        <w:rPr>
          <w:rFonts w:hint="eastAsia" w:ascii="黑体" w:eastAsia="黑体"/>
          <w:b/>
          <w:color w:val="auto"/>
          <w:sz w:val="32"/>
          <w:szCs w:val="32"/>
          <w:highlight w:val="none"/>
        </w:rPr>
      </w:pPr>
      <w:r>
        <w:rPr>
          <w:rFonts w:hint="eastAsia" w:ascii="黑体" w:eastAsia="黑体"/>
          <w:b/>
          <w:color w:val="auto"/>
          <w:sz w:val="32"/>
          <w:szCs w:val="32"/>
          <w:highlight w:val="none"/>
          <w:lang w:eastAsia="zh-CN"/>
        </w:rPr>
        <w:t>第五章</w:t>
      </w:r>
      <w:r>
        <w:rPr>
          <w:rFonts w:hint="eastAsia" w:ascii="黑体" w:eastAsia="黑体"/>
          <w:b/>
          <w:color w:val="auto"/>
          <w:sz w:val="32"/>
          <w:szCs w:val="32"/>
          <w:highlight w:val="none"/>
          <w:lang w:val="en-US" w:eastAsia="zh-CN"/>
        </w:rPr>
        <w:t xml:space="preserve"> </w:t>
      </w:r>
      <w:r>
        <w:rPr>
          <w:rFonts w:hint="eastAsia" w:ascii="黑体" w:eastAsia="黑体"/>
          <w:b/>
          <w:color w:val="auto"/>
          <w:sz w:val="32"/>
          <w:szCs w:val="32"/>
          <w:highlight w:val="none"/>
        </w:rPr>
        <w:t>采购需求</w:t>
      </w:r>
    </w:p>
    <w:p>
      <w:pPr>
        <w:rPr>
          <w:rFonts w:hint="eastAsia"/>
          <w:color w:val="auto"/>
          <w:highlight w:val="none"/>
        </w:rPr>
      </w:pPr>
    </w:p>
    <w:p>
      <w:pPr>
        <w:pStyle w:val="10"/>
        <w:rPr>
          <w:color w:val="auto"/>
          <w:highlight w:val="none"/>
        </w:rPr>
      </w:pPr>
      <w:r>
        <w:rPr>
          <w:rFonts w:hint="eastAsia"/>
          <w:color w:val="auto"/>
          <w:highlight w:val="none"/>
          <w:lang w:eastAsia="zh-CN"/>
        </w:rPr>
        <w:t>一</w:t>
      </w:r>
      <w:r>
        <w:rPr>
          <w:rFonts w:hint="eastAsia"/>
          <w:color w:val="auto"/>
          <w:highlight w:val="none"/>
        </w:rPr>
        <w:t>、保险对象及服务期限</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1、保障数量及对象</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财产</w:t>
      </w:r>
      <w:r>
        <w:rPr>
          <w:rFonts w:hint="eastAsia" w:ascii="宋体" w:hAnsi="宋体" w:cs="宋体"/>
          <w:bCs/>
          <w:color w:val="auto"/>
          <w:szCs w:val="21"/>
          <w:highlight w:val="none"/>
        </w:rPr>
        <w:t>总价值约</w:t>
      </w:r>
      <w:r>
        <w:rPr>
          <w:rFonts w:hint="eastAsia" w:ascii="宋体" w:hAnsi="宋体" w:cs="宋体"/>
          <w:bCs/>
          <w:color w:val="auto"/>
          <w:szCs w:val="21"/>
          <w:highlight w:val="none"/>
          <w:lang w:val="en-US" w:eastAsia="zh-CN"/>
        </w:rPr>
        <w:t>7019.96万</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见厂房设备保险清单</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服务期限</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 xml:space="preserve"> 1年；</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3</w:t>
      </w:r>
      <w:r>
        <w:rPr>
          <w:rFonts w:hint="default" w:ascii="宋体" w:hAnsi="宋体" w:cs="宋体"/>
          <w:bCs/>
          <w:color w:val="auto"/>
          <w:szCs w:val="21"/>
          <w:highlight w:val="none"/>
          <w:lang w:val="en-US" w:eastAsia="zh-CN"/>
        </w:rPr>
        <w:t>、</w:t>
      </w:r>
      <w:r>
        <w:rPr>
          <w:rFonts w:hint="default" w:ascii="宋体" w:hAnsi="宋体" w:cs="宋体"/>
          <w:b w:val="0"/>
          <w:bCs/>
          <w:color w:val="auto"/>
          <w:position w:val="0"/>
          <w:szCs w:val="21"/>
          <w:highlight w:val="none"/>
        </w:rPr>
        <w:t>保险险种：</w:t>
      </w:r>
      <w:r>
        <w:rPr>
          <w:rFonts w:hint="default" w:ascii="宋体" w:hAnsi="宋体" w:cs="宋体"/>
          <w:bCs/>
          <w:color w:val="auto"/>
          <w:position w:val="0"/>
          <w:szCs w:val="21"/>
          <w:highlight w:val="none"/>
        </w:rPr>
        <w:t>财产综合保险和机器设备损坏保险</w:t>
      </w:r>
    </w:p>
    <w:p>
      <w:pPr>
        <w:pStyle w:val="10"/>
        <w:rPr>
          <w:color w:val="auto"/>
          <w:highlight w:val="none"/>
        </w:rPr>
      </w:pPr>
      <w:r>
        <w:rPr>
          <w:rFonts w:hint="eastAsia"/>
          <w:color w:val="auto"/>
          <w:highlight w:val="none"/>
          <w:lang w:eastAsia="zh-CN"/>
        </w:rPr>
        <w:t>二</w:t>
      </w:r>
      <w:r>
        <w:rPr>
          <w:rFonts w:hint="eastAsia"/>
          <w:color w:val="auto"/>
          <w:highlight w:val="none"/>
        </w:rPr>
        <w:t>、服务要求</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本项目要求的保险条件已陈述于后，投标人必须根据本章所列明的保险方案及服务要求报价，并对本章所列明的保险方案及服务要求进行响应。</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招标文件公布的保单条款及扩展条款均为采购人要求的报备条款。投标人可使用其自身报备的条款，但其保障范围须涵盖本章保单条款及扩展条款的责任范围；否则须采用特别约定的形式予以扩展。组织实施要求如下：</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1、保险类别</w:t>
      </w:r>
      <w:r>
        <w:rPr>
          <w:rFonts w:hint="eastAsia" w:ascii="宋体" w:hAnsi="宋体" w:cs="宋体"/>
          <w:bCs/>
          <w:color w:val="auto"/>
          <w:szCs w:val="21"/>
          <w:highlight w:val="none"/>
        </w:rPr>
        <w:tab/>
      </w:r>
      <w:r>
        <w:rPr>
          <w:rFonts w:hint="eastAsia" w:ascii="宋体" w:hAnsi="宋体" w:cs="宋体"/>
          <w:bCs/>
          <w:color w:val="auto"/>
          <w:szCs w:val="21"/>
          <w:highlight w:val="none"/>
        </w:rPr>
        <w:t>：财产综合保险和机器设备损坏保险</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2、保单形式</w:t>
      </w:r>
      <w:r>
        <w:rPr>
          <w:rFonts w:hint="eastAsia" w:ascii="宋体" w:hAnsi="宋体" w:cs="宋体"/>
          <w:bCs/>
          <w:color w:val="auto"/>
          <w:szCs w:val="21"/>
          <w:highlight w:val="none"/>
        </w:rPr>
        <w:tab/>
      </w:r>
      <w:r>
        <w:rPr>
          <w:rFonts w:hint="eastAsia" w:ascii="宋体" w:hAnsi="宋体" w:cs="宋体"/>
          <w:bCs/>
          <w:color w:val="auto"/>
          <w:szCs w:val="21"/>
          <w:highlight w:val="none"/>
        </w:rPr>
        <w:t>：根据随附的保单条款和附加扩展条款（包括特别约定）</w:t>
      </w:r>
    </w:p>
    <w:p>
      <w:pPr>
        <w:spacing w:line="440" w:lineRule="exact"/>
        <w:ind w:firstLine="420" w:firstLineChars="2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2.1免赔额</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 xml:space="preserve"> </w:t>
      </w:r>
    </w:p>
    <w:p>
      <w:pPr>
        <w:spacing w:line="440" w:lineRule="exact"/>
        <w:ind w:firstLine="420" w:firstLineChars="200"/>
        <w:rPr>
          <w:rFonts w:hint="eastAsia" w:ascii="宋体" w:hAnsi="宋体" w:cs="宋体"/>
          <w:bCs/>
          <w:color w:val="auto"/>
          <w:szCs w:val="21"/>
          <w:highlight w:val="none"/>
          <w:lang w:val="en-US" w:eastAsia="zh-CN"/>
        </w:rPr>
      </w:pPr>
      <w:r>
        <w:rPr>
          <w:rFonts w:hint="eastAsia" w:ascii="宋体" w:hAnsi="宋体" w:cs="宋体"/>
          <w:bCs/>
          <w:szCs w:val="21"/>
        </w:rPr>
        <w:t>财产综合保险：</w:t>
      </w:r>
      <w:r>
        <w:rPr>
          <w:rFonts w:hint="eastAsia" w:ascii="宋体" w:hAnsi="宋体" w:cs="宋体"/>
          <w:bCs/>
          <w:color w:val="auto"/>
          <w:szCs w:val="21"/>
          <w:highlight w:val="none"/>
        </w:rPr>
        <w:t>每次事故绝对免赔额为</w:t>
      </w:r>
      <w:r>
        <w:rPr>
          <w:rFonts w:hint="eastAsia" w:ascii="宋体" w:hAnsi="宋体" w:cs="宋体"/>
          <w:bCs/>
          <w:color w:val="auto"/>
          <w:szCs w:val="21"/>
          <w:highlight w:val="none"/>
          <w:lang w:val="en-US" w:eastAsia="zh-CN"/>
        </w:rPr>
        <w:t>5000.00</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或损失金额的</w:t>
      </w:r>
      <w:r>
        <w:rPr>
          <w:rFonts w:hint="eastAsia" w:ascii="宋体" w:hAnsi="宋体" w:cs="宋体"/>
          <w:bCs/>
          <w:color w:val="auto"/>
          <w:szCs w:val="21"/>
          <w:highlight w:val="none"/>
          <w:lang w:val="en-US" w:eastAsia="zh-CN"/>
        </w:rPr>
        <w:t>10%；两者以高者为准。</w:t>
      </w:r>
    </w:p>
    <w:p>
      <w:pPr>
        <w:spacing w:line="440" w:lineRule="exact"/>
        <w:ind w:firstLine="420" w:firstLineChars="200"/>
        <w:rPr>
          <w:rFonts w:hint="eastAsia" w:ascii="仿宋_GB2312" w:eastAsia="宋体" w:cs="仿宋_GB2312"/>
          <w:color w:val="auto"/>
          <w:sz w:val="24"/>
          <w:highlight w:val="none"/>
          <w:lang w:val="en-US" w:eastAsia="zh-CN"/>
        </w:rPr>
      </w:pPr>
      <w:r>
        <w:rPr>
          <w:rFonts w:hint="eastAsia" w:ascii="宋体" w:hAnsi="宋体" w:cs="宋体"/>
          <w:bCs/>
          <w:szCs w:val="21"/>
        </w:rPr>
        <w:t>机器</w:t>
      </w:r>
      <w:r>
        <w:rPr>
          <w:rFonts w:hint="eastAsia" w:ascii="宋体" w:hAnsi="宋体" w:cs="宋体"/>
          <w:bCs/>
          <w:color w:val="auto"/>
          <w:szCs w:val="21"/>
          <w:highlight w:val="none"/>
        </w:rPr>
        <w:t>设备</w:t>
      </w:r>
      <w:r>
        <w:rPr>
          <w:rFonts w:hint="eastAsia" w:ascii="宋体" w:hAnsi="宋体" w:cs="宋体"/>
          <w:bCs/>
          <w:szCs w:val="21"/>
        </w:rPr>
        <w:t>损坏保险：</w:t>
      </w:r>
      <w:r>
        <w:rPr>
          <w:rFonts w:hint="eastAsia" w:ascii="宋体" w:hAnsi="宋体" w:cs="宋体"/>
          <w:bCs/>
          <w:color w:val="auto"/>
          <w:szCs w:val="21"/>
          <w:highlight w:val="none"/>
        </w:rPr>
        <w:t>每次事故绝对免赔额为</w:t>
      </w:r>
      <w:r>
        <w:rPr>
          <w:rFonts w:hint="eastAsia" w:ascii="宋体" w:hAnsi="宋体" w:cs="宋体"/>
          <w:bCs/>
          <w:color w:val="auto"/>
          <w:szCs w:val="21"/>
          <w:highlight w:val="none"/>
          <w:lang w:val="en-US" w:eastAsia="zh-CN"/>
        </w:rPr>
        <w:t>5000.00</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或损失金额的</w:t>
      </w:r>
      <w:r>
        <w:rPr>
          <w:rFonts w:hint="eastAsia" w:ascii="宋体" w:hAnsi="宋体" w:cs="宋体"/>
          <w:bCs/>
          <w:color w:val="auto"/>
          <w:szCs w:val="21"/>
          <w:highlight w:val="none"/>
          <w:lang w:val="en-US" w:eastAsia="zh-CN"/>
        </w:rPr>
        <w:t>10%；两者以高者为准。</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2.2适用条款：承保人向中国保监会报备的财产综合保险条款（电厂项目）和机器损坏保险条款（电厂项目）</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3、投保人：</w:t>
      </w:r>
      <w:r>
        <w:rPr>
          <w:rFonts w:hint="eastAsia" w:ascii="宋体" w:hAnsi="宋体" w:cs="宋体"/>
          <w:bCs/>
          <w:color w:val="auto"/>
          <w:szCs w:val="21"/>
          <w:highlight w:val="none"/>
          <w:lang w:eastAsia="zh-CN"/>
        </w:rPr>
        <w:t>永州涔天河灌区工程建设有限责任公司</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4、被保险人</w:t>
      </w:r>
      <w:r>
        <w:rPr>
          <w:rFonts w:hint="eastAsia" w:ascii="宋体" w:hAnsi="宋体" w:cs="宋体"/>
          <w:bCs/>
          <w:color w:val="auto"/>
          <w:szCs w:val="21"/>
          <w:highlight w:val="none"/>
        </w:rPr>
        <w:tab/>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永州涔天河灌区工程建设有限责任公司</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5、保险标的</w:t>
      </w:r>
      <w:r>
        <w:rPr>
          <w:rFonts w:hint="eastAsia" w:ascii="宋体" w:hAnsi="宋体" w:cs="宋体"/>
          <w:bCs/>
          <w:color w:val="auto"/>
          <w:szCs w:val="21"/>
          <w:highlight w:val="none"/>
        </w:rPr>
        <w:tab/>
      </w:r>
      <w:r>
        <w:rPr>
          <w:rFonts w:hint="eastAsia" w:ascii="宋体" w:hAnsi="宋体" w:cs="宋体"/>
          <w:bCs/>
          <w:color w:val="auto"/>
          <w:szCs w:val="21"/>
          <w:highlight w:val="none"/>
        </w:rPr>
        <w:t>：总价值约</w:t>
      </w:r>
      <w:r>
        <w:rPr>
          <w:rFonts w:hint="eastAsia" w:ascii="宋体" w:hAnsi="宋体" w:cs="宋体"/>
          <w:bCs/>
          <w:color w:val="auto"/>
          <w:szCs w:val="21"/>
          <w:highlight w:val="none"/>
          <w:lang w:val="en-US" w:eastAsia="zh-CN"/>
        </w:rPr>
        <w:t>7019.96万</w:t>
      </w:r>
      <w:r>
        <w:rPr>
          <w:rFonts w:hint="eastAsia" w:ascii="宋体" w:hAnsi="宋体" w:cs="宋体"/>
          <w:bCs/>
          <w:color w:val="auto"/>
          <w:szCs w:val="21"/>
          <w:highlight w:val="none"/>
        </w:rPr>
        <w:t>元，详见保险清单</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6、标的地址</w:t>
      </w:r>
      <w:r>
        <w:rPr>
          <w:rFonts w:hint="eastAsia" w:ascii="宋体" w:hAnsi="宋体" w:cs="宋体"/>
          <w:bCs/>
          <w:color w:val="auto"/>
          <w:szCs w:val="21"/>
          <w:highlight w:val="none"/>
        </w:rPr>
        <w:tab/>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湖南省永州市江华县</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7、保险期限</w:t>
      </w:r>
      <w:r>
        <w:rPr>
          <w:rFonts w:hint="eastAsia" w:ascii="宋体" w:hAnsi="宋体" w:cs="宋体"/>
          <w:bCs/>
          <w:color w:val="auto"/>
          <w:szCs w:val="21"/>
          <w:highlight w:val="none"/>
        </w:rPr>
        <w:tab/>
      </w:r>
      <w:r>
        <w:rPr>
          <w:rFonts w:hint="eastAsia" w:ascii="宋体" w:hAnsi="宋体" w:cs="宋体"/>
          <w:bCs/>
          <w:color w:val="auto"/>
          <w:szCs w:val="21"/>
          <w:highlight w:val="none"/>
        </w:rPr>
        <w:t>： 1年</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8、保险责任</w:t>
      </w:r>
      <w:r>
        <w:rPr>
          <w:rFonts w:hint="eastAsia" w:ascii="宋体" w:hAnsi="宋体" w:cs="宋体"/>
          <w:bCs/>
          <w:color w:val="auto"/>
          <w:szCs w:val="21"/>
          <w:highlight w:val="none"/>
        </w:rPr>
        <w:tab/>
      </w:r>
      <w:r>
        <w:rPr>
          <w:rFonts w:hint="eastAsia" w:ascii="宋体" w:hAnsi="宋体" w:cs="宋体"/>
          <w:bCs/>
          <w:color w:val="auto"/>
          <w:szCs w:val="21"/>
          <w:highlight w:val="none"/>
        </w:rPr>
        <w:t>：</w:t>
      </w:r>
    </w:p>
    <w:p>
      <w:pPr>
        <w:spacing w:after="120" w:afterLines="50"/>
        <w:ind w:firstLine="417" w:firstLineChars="199"/>
        <w:rPr>
          <w:rFonts w:ascii="宋体" w:hAnsi="宋体"/>
          <w:color w:val="auto"/>
          <w:szCs w:val="21"/>
          <w:highlight w:val="none"/>
        </w:rPr>
      </w:pPr>
      <w:r>
        <w:rPr>
          <w:rFonts w:hint="eastAsia" w:ascii="宋体" w:hAnsi="宋体" w:cs="宋体"/>
          <w:bCs/>
          <w:color w:val="auto"/>
          <w:szCs w:val="21"/>
          <w:highlight w:val="none"/>
        </w:rPr>
        <w:t xml:space="preserve">8.1 </w:t>
      </w:r>
      <w:r>
        <w:rPr>
          <w:rFonts w:hint="eastAsia" w:ascii="宋体" w:hAnsi="宋体"/>
          <w:color w:val="auto"/>
          <w:szCs w:val="21"/>
          <w:highlight w:val="none"/>
        </w:rPr>
        <w:t>在保险期间内，由于下列原因造成</w:t>
      </w:r>
      <w:r>
        <w:rPr>
          <w:rFonts w:hint="eastAsia" w:ascii="宋体" w:hAnsi="宋体"/>
          <w:bCs/>
          <w:color w:val="auto"/>
          <w:szCs w:val="21"/>
          <w:highlight w:val="none"/>
        </w:rPr>
        <w:t>保险标的的损失</w:t>
      </w:r>
      <w:r>
        <w:rPr>
          <w:rFonts w:hint="eastAsia" w:ascii="宋体" w:hAnsi="宋体"/>
          <w:color w:val="auto"/>
          <w:szCs w:val="21"/>
          <w:highlight w:val="none"/>
        </w:rPr>
        <w:t>，保险人按照本保险合同的约定负责赔偿：</w:t>
      </w:r>
    </w:p>
    <w:p>
      <w:pPr>
        <w:spacing w:after="120" w:afterLines="50"/>
        <w:ind w:firstLine="420" w:firstLineChars="200"/>
        <w:rPr>
          <w:rFonts w:ascii="宋体" w:hAnsi="宋体"/>
          <w:color w:val="auto"/>
          <w:szCs w:val="21"/>
          <w:highlight w:val="none"/>
        </w:rPr>
      </w:pPr>
      <w:r>
        <w:rPr>
          <w:rFonts w:hint="eastAsia" w:ascii="宋体" w:hAnsi="宋体"/>
          <w:color w:val="auto"/>
          <w:szCs w:val="21"/>
          <w:highlight w:val="none"/>
        </w:rPr>
        <w:t>8.1.1财产综合险： 火灾、爆炸； 雷击、暴雨、洪水、暴风、龙卷风、冰雹、台风、飓风、暴雪、冰凌、突发性滑坡、崩塌、泥石流、地面突然下陷下沉；飞行物体及其他空中运行物体坠落。</w:t>
      </w:r>
    </w:p>
    <w:p>
      <w:pPr>
        <w:autoSpaceDE w:val="0"/>
        <w:autoSpaceDN w:val="0"/>
        <w:adjustRightInd w:val="0"/>
        <w:snapToGrid w:val="0"/>
        <w:spacing w:after="120" w:afterLines="50"/>
        <w:ind w:firstLine="420" w:firstLineChars="200"/>
        <w:rPr>
          <w:rFonts w:ascii="宋体" w:hAnsi="宋体"/>
          <w:color w:val="auto"/>
          <w:szCs w:val="21"/>
          <w:highlight w:val="none"/>
        </w:rPr>
      </w:pPr>
      <w:r>
        <w:rPr>
          <w:rFonts w:hint="eastAsia" w:ascii="宋体" w:hAnsi="宋体"/>
          <w:color w:val="auto"/>
          <w:szCs w:val="21"/>
          <w:highlight w:val="none"/>
        </w:rPr>
        <w:t>8.1.2机器损坏险： 设计、制造或安装错误、铸造和原材料缺陷； 工人、技术人员操作错误、缺乏经验、技术不善、疏忽、过失、恶意行为； 离心力引起的断裂； 超负荷、超电压、碰线、电弧、漏电、短路、大气放电、感应电及其他电气原因；</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8.2前款原因造成的保险事故发生时，为抢救保险标的或防止灾害蔓延，采取必要的、合理的措施而造成保险标的的损失，保险人按照保险合同的约定负责赔偿。</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9、保险金额：标的物的最终实际评估值。</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10、扩展条款</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10.1 重置价值条款</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标的物受损后的修复或者重置所发生的一切费用</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10.2公共当局扩展条款</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10.3建筑物未受损部分额外费用扩展条款</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10.4定值保险条款</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11、服务要求</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注：以下服务内容仅为最低要求，投标人需在投标文件中列明，待中标后根据承保人的实际服务方案进行调整：</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11.1专项服务小组</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中标人需高度重视，保证安排足够的专业技术人员，并设立专项服务小组，为本项目提供专业的服务。</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24小时报案电话：                       传真：</w:t>
      </w:r>
    </w:p>
    <w:tbl>
      <w:tblPr>
        <w:tblStyle w:val="29"/>
        <w:tblW w:w="8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20"/>
        <w:gridCol w:w="694"/>
        <w:gridCol w:w="1079"/>
        <w:gridCol w:w="1598"/>
        <w:gridCol w:w="827"/>
        <w:gridCol w:w="15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jc w:val="center"/>
              <w:rPr>
                <w:rFonts w:ascii="宋体" w:hAnsi="宋体"/>
                <w:b/>
                <w:color w:val="auto"/>
                <w:position w:val="6"/>
                <w:szCs w:val="21"/>
                <w:highlight w:val="none"/>
              </w:rPr>
            </w:pPr>
            <w:r>
              <w:rPr>
                <w:rFonts w:hint="eastAsia" w:ascii="宋体" w:hAnsi="宋体"/>
                <w:b/>
                <w:color w:val="auto"/>
                <w:position w:val="6"/>
                <w:szCs w:val="21"/>
                <w:highlight w:val="none"/>
              </w:rPr>
              <w:t>组内职务</w:t>
            </w:r>
          </w:p>
        </w:tc>
        <w:tc>
          <w:tcPr>
            <w:tcW w:w="694" w:type="dxa"/>
            <w:noWrap w:val="0"/>
            <w:vAlign w:val="center"/>
          </w:tcPr>
          <w:p>
            <w:pPr>
              <w:adjustRightInd w:val="0"/>
              <w:snapToGrid w:val="0"/>
              <w:spacing w:line="360" w:lineRule="auto"/>
              <w:rPr>
                <w:rFonts w:ascii="宋体" w:hAnsi="宋体"/>
                <w:b/>
                <w:color w:val="auto"/>
                <w:position w:val="6"/>
                <w:szCs w:val="21"/>
                <w:highlight w:val="none"/>
              </w:rPr>
            </w:pPr>
            <w:r>
              <w:rPr>
                <w:rFonts w:hint="eastAsia" w:ascii="宋体" w:hAnsi="宋体"/>
                <w:b/>
                <w:color w:val="auto"/>
                <w:position w:val="6"/>
                <w:szCs w:val="21"/>
                <w:highlight w:val="none"/>
              </w:rPr>
              <w:t>姓名</w:t>
            </w:r>
          </w:p>
        </w:tc>
        <w:tc>
          <w:tcPr>
            <w:tcW w:w="1079" w:type="dxa"/>
            <w:noWrap w:val="0"/>
            <w:vAlign w:val="center"/>
          </w:tcPr>
          <w:p>
            <w:pPr>
              <w:adjustRightInd w:val="0"/>
              <w:snapToGrid w:val="0"/>
              <w:spacing w:line="360" w:lineRule="auto"/>
              <w:rPr>
                <w:rFonts w:ascii="宋体" w:hAnsi="宋体"/>
                <w:b/>
                <w:color w:val="auto"/>
                <w:position w:val="6"/>
                <w:szCs w:val="21"/>
                <w:highlight w:val="none"/>
              </w:rPr>
            </w:pPr>
            <w:r>
              <w:rPr>
                <w:rFonts w:hint="eastAsia" w:ascii="宋体" w:hAnsi="宋体"/>
                <w:b/>
                <w:color w:val="auto"/>
                <w:position w:val="6"/>
                <w:szCs w:val="21"/>
                <w:highlight w:val="none"/>
              </w:rPr>
              <w:t>公司职务</w:t>
            </w:r>
          </w:p>
        </w:tc>
        <w:tc>
          <w:tcPr>
            <w:tcW w:w="1598" w:type="dxa"/>
            <w:noWrap w:val="0"/>
            <w:vAlign w:val="center"/>
          </w:tcPr>
          <w:p>
            <w:pPr>
              <w:adjustRightInd w:val="0"/>
              <w:snapToGrid w:val="0"/>
              <w:spacing w:line="360" w:lineRule="auto"/>
              <w:rPr>
                <w:rFonts w:ascii="宋体" w:hAnsi="宋体"/>
                <w:b/>
                <w:color w:val="auto"/>
                <w:position w:val="6"/>
                <w:szCs w:val="21"/>
                <w:highlight w:val="none"/>
              </w:rPr>
            </w:pPr>
            <w:r>
              <w:rPr>
                <w:rFonts w:hint="eastAsia" w:ascii="宋体" w:hAnsi="宋体"/>
                <w:b/>
                <w:color w:val="auto"/>
                <w:position w:val="6"/>
                <w:szCs w:val="21"/>
                <w:highlight w:val="none"/>
              </w:rPr>
              <w:t>联系电话/手机</w:t>
            </w:r>
          </w:p>
        </w:tc>
        <w:tc>
          <w:tcPr>
            <w:tcW w:w="827" w:type="dxa"/>
            <w:noWrap w:val="0"/>
            <w:vAlign w:val="top"/>
          </w:tcPr>
          <w:p>
            <w:pPr>
              <w:adjustRightInd w:val="0"/>
              <w:snapToGrid w:val="0"/>
              <w:spacing w:line="360" w:lineRule="auto"/>
              <w:jc w:val="center"/>
              <w:rPr>
                <w:rFonts w:ascii="宋体" w:hAnsi="宋体"/>
                <w:b/>
                <w:color w:val="auto"/>
                <w:position w:val="6"/>
                <w:szCs w:val="21"/>
                <w:highlight w:val="none"/>
              </w:rPr>
            </w:pPr>
            <w:r>
              <w:rPr>
                <w:rFonts w:hint="eastAsia" w:ascii="宋体" w:hAnsi="宋体"/>
                <w:b/>
                <w:color w:val="auto"/>
                <w:position w:val="6"/>
                <w:szCs w:val="21"/>
                <w:highlight w:val="none"/>
              </w:rPr>
              <w:t>传真</w:t>
            </w:r>
          </w:p>
        </w:tc>
        <w:tc>
          <w:tcPr>
            <w:tcW w:w="1570" w:type="dxa"/>
            <w:noWrap w:val="0"/>
            <w:vAlign w:val="center"/>
          </w:tcPr>
          <w:p>
            <w:pPr>
              <w:adjustRightInd w:val="0"/>
              <w:snapToGrid w:val="0"/>
              <w:spacing w:line="360" w:lineRule="auto"/>
              <w:rPr>
                <w:rFonts w:ascii="宋体" w:hAnsi="宋体"/>
                <w:b/>
                <w:color w:val="auto"/>
                <w:position w:val="6"/>
                <w:szCs w:val="21"/>
                <w:highlight w:val="none"/>
              </w:rPr>
            </w:pPr>
            <w:r>
              <w:rPr>
                <w:rFonts w:hint="eastAsia" w:ascii="宋体" w:hAnsi="宋体"/>
                <w:b/>
                <w:color w:val="auto"/>
                <w:position w:val="6"/>
                <w:szCs w:val="21"/>
                <w:highlight w:val="none"/>
              </w:rPr>
              <w:t>电子邮箱地址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专项组长</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专项副组长(主管承保)</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6" w:leftChars="-51" w:right="-107" w:rightChars="-51" w:hanging="1"/>
              <w:jc w:val="center"/>
              <w:rPr>
                <w:rFonts w:ascii="宋体" w:hAnsi="宋体"/>
                <w:color w:val="auto"/>
                <w:position w:val="6"/>
                <w:szCs w:val="21"/>
                <w:highlight w:val="none"/>
              </w:rPr>
            </w:pPr>
            <w:r>
              <w:rPr>
                <w:rFonts w:hint="eastAsia" w:ascii="宋体" w:hAnsi="宋体"/>
                <w:color w:val="auto"/>
                <w:position w:val="6"/>
                <w:szCs w:val="21"/>
                <w:highlight w:val="none"/>
              </w:rPr>
              <w:t>专项副组长(主管理赔)</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6" w:leftChars="-51" w:right="-107" w:rightChars="-51" w:hanging="1"/>
              <w:jc w:val="center"/>
              <w:rPr>
                <w:rFonts w:ascii="宋体" w:hAnsi="宋体"/>
                <w:color w:val="auto"/>
                <w:position w:val="6"/>
                <w:szCs w:val="21"/>
                <w:highlight w:val="none"/>
              </w:rPr>
            </w:pPr>
            <w:r>
              <w:rPr>
                <w:rFonts w:hint="eastAsia" w:ascii="宋体" w:hAnsi="宋体"/>
                <w:color w:val="auto"/>
                <w:position w:val="6"/>
                <w:szCs w:val="21"/>
                <w:highlight w:val="none"/>
              </w:rPr>
              <w:t>日常联系专人</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防损服务专人</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核保服务专人</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核赔服务专人</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6" w:leftChars="-51" w:right="-107" w:rightChars="-51" w:hanging="1"/>
              <w:jc w:val="center"/>
              <w:rPr>
                <w:rFonts w:ascii="宋体" w:hAnsi="宋体"/>
                <w:color w:val="auto"/>
                <w:position w:val="6"/>
                <w:szCs w:val="21"/>
                <w:highlight w:val="none"/>
              </w:rPr>
            </w:pPr>
            <w:r>
              <w:rPr>
                <w:rFonts w:hint="eastAsia" w:ascii="宋体" w:hAnsi="宋体"/>
                <w:color w:val="auto"/>
                <w:position w:val="6"/>
                <w:szCs w:val="21"/>
                <w:highlight w:val="none"/>
              </w:rPr>
              <w:t>现场理赔服务专人1</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现场理赔服务专人2</w:t>
            </w:r>
          </w:p>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数据统计专人</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20" w:type="dxa"/>
            <w:noWrap w:val="0"/>
            <w:vAlign w:val="center"/>
          </w:tcPr>
          <w:p>
            <w:pPr>
              <w:adjustRightInd w:val="0"/>
              <w:snapToGrid w:val="0"/>
              <w:spacing w:line="360" w:lineRule="auto"/>
              <w:ind w:left="-107" w:leftChars="-51" w:right="-107" w:rightChars="-51"/>
              <w:jc w:val="center"/>
              <w:rPr>
                <w:rFonts w:ascii="宋体" w:hAnsi="宋体"/>
                <w:color w:val="auto"/>
                <w:position w:val="6"/>
                <w:szCs w:val="21"/>
                <w:highlight w:val="none"/>
              </w:rPr>
            </w:pPr>
            <w:r>
              <w:rPr>
                <w:rFonts w:hint="eastAsia" w:ascii="宋体" w:hAnsi="宋体"/>
                <w:color w:val="auto"/>
                <w:position w:val="6"/>
                <w:szCs w:val="21"/>
                <w:highlight w:val="none"/>
              </w:rPr>
              <w:t>……</w:t>
            </w:r>
          </w:p>
        </w:tc>
        <w:tc>
          <w:tcPr>
            <w:tcW w:w="694"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079" w:type="dxa"/>
            <w:noWrap w:val="0"/>
            <w:vAlign w:val="center"/>
          </w:tcPr>
          <w:p>
            <w:pPr>
              <w:adjustRightInd w:val="0"/>
              <w:snapToGrid w:val="0"/>
              <w:spacing w:line="360" w:lineRule="auto"/>
              <w:ind w:firstLine="200"/>
              <w:rPr>
                <w:rFonts w:ascii="宋体" w:hAnsi="宋体"/>
                <w:color w:val="auto"/>
                <w:position w:val="6"/>
                <w:szCs w:val="21"/>
                <w:highlight w:val="none"/>
              </w:rPr>
            </w:pPr>
          </w:p>
        </w:tc>
        <w:tc>
          <w:tcPr>
            <w:tcW w:w="1598"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c>
          <w:tcPr>
            <w:tcW w:w="827" w:type="dxa"/>
            <w:noWrap w:val="0"/>
            <w:vAlign w:val="top"/>
          </w:tcPr>
          <w:p>
            <w:pPr>
              <w:adjustRightInd w:val="0"/>
              <w:snapToGrid w:val="0"/>
              <w:spacing w:line="360" w:lineRule="auto"/>
              <w:ind w:firstLine="420" w:firstLineChars="200"/>
              <w:jc w:val="center"/>
              <w:rPr>
                <w:rFonts w:ascii="宋体" w:hAnsi="宋体"/>
                <w:color w:val="auto"/>
                <w:position w:val="6"/>
                <w:szCs w:val="21"/>
                <w:highlight w:val="none"/>
              </w:rPr>
            </w:pPr>
          </w:p>
        </w:tc>
        <w:tc>
          <w:tcPr>
            <w:tcW w:w="1570" w:type="dxa"/>
            <w:noWrap w:val="0"/>
            <w:vAlign w:val="center"/>
          </w:tcPr>
          <w:p>
            <w:pPr>
              <w:adjustRightInd w:val="0"/>
              <w:snapToGrid w:val="0"/>
              <w:spacing w:line="360" w:lineRule="auto"/>
              <w:ind w:firstLine="420" w:firstLineChars="200"/>
              <w:jc w:val="center"/>
              <w:rPr>
                <w:rFonts w:ascii="宋体" w:hAnsi="宋体"/>
                <w:color w:val="auto"/>
                <w:position w:val="6"/>
                <w:szCs w:val="21"/>
                <w:highlight w:val="none"/>
              </w:rPr>
            </w:pPr>
          </w:p>
        </w:tc>
      </w:tr>
    </w:tbl>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上述专项服务小组成员未经采购人同意不得随意更换。</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11.2 风险管理与保险知识培训</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本协议有效期内，中标人应组织对投保人进行至少一次风险查勘并提交风险查勘报告，提出有针对性的防灾防损建议，并协助投保人建立风险管理档案，相关费用由中标人承担。</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本协议有效期内，中标人应根据本项目保险标的风险情况至少组织一次保险与风险管理培训或交流会议，以提高采购人财务与保险管理人员、相关施工人员、安全技术人员等的风险管理和防灾防损技能，有关费用由中标人承担。具体内容、实施方案、举办时间和地点由采购人、中标人双方共同协商确定。</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本协议有效期内，如采购人有需要，中标人应为其免费提供本项目之外的保险咨询服务。</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11.3 防灾防损服务</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保险期间，由承保人负责组织开展经常性防灾检查、危险隐患整改督导，并落实其投标文件中承诺的工作内容。</w:t>
      </w:r>
    </w:p>
    <w:p>
      <w:pPr>
        <w:autoSpaceDE w:val="0"/>
        <w:autoSpaceDN w:val="0"/>
        <w:adjustRightIn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 理赔服务</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11.4.1接报案</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发生保险事故后，采购人应立即（不超过24小时）向保险公司报案。</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11.4.2 现场查勘</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11.4.2.1 中标人接到报案后，服务小组成员应在一小时内给出处理意见，并回复是否前往现场查勘；如果没有回复，则表示服务小组不去现场查勘并同意以采购人提供的索赔材料为理赔依据。</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11.4.2.2 服务小组应安排现场理赔服务人员/查勘人员在约定的限定期限内到达现场，进行保险事故损失查勘。未按上述规定及时到达现场，则允许采购人</w:t>
      </w:r>
      <w:r>
        <w:rPr>
          <w:rFonts w:hint="eastAsia" w:ascii="宋体" w:hAnsi="宋体"/>
          <w:color w:val="auto"/>
          <w:position w:val="6"/>
          <w:szCs w:val="21"/>
          <w:highlight w:val="none"/>
          <w:lang w:val="zh-CN"/>
        </w:rPr>
        <w:t>及其委托人</w:t>
      </w:r>
      <w:r>
        <w:rPr>
          <w:rFonts w:hint="eastAsia" w:ascii="宋体" w:hAnsi="宋体"/>
          <w:color w:val="auto"/>
          <w:position w:val="6"/>
          <w:szCs w:val="21"/>
          <w:highlight w:val="none"/>
        </w:rPr>
        <w:t>自行处理事故现场，但应保留事故现场的有关照片或实物证据。由此产生的一切合理费用和事故损失中标人应全部承担，但不包括免赔额（率）。</w:t>
      </w:r>
    </w:p>
    <w:p>
      <w:pPr>
        <w:spacing w:line="360" w:lineRule="auto"/>
        <w:ind w:firstLine="420" w:firstLineChars="200"/>
        <w:rPr>
          <w:rFonts w:ascii="宋体" w:hAnsi="宋体"/>
          <w:color w:val="auto"/>
          <w:position w:val="6"/>
          <w:szCs w:val="21"/>
          <w:highlight w:val="none"/>
          <w:lang w:val="zh-CN"/>
        </w:rPr>
      </w:pPr>
      <w:r>
        <w:rPr>
          <w:rFonts w:hint="eastAsia" w:ascii="宋体" w:hAnsi="宋体"/>
          <w:color w:val="auto"/>
          <w:position w:val="6"/>
          <w:szCs w:val="21"/>
          <w:highlight w:val="none"/>
        </w:rPr>
        <w:t xml:space="preserve">11.4.2.3 </w:t>
      </w:r>
      <w:r>
        <w:rPr>
          <w:rFonts w:hint="eastAsia" w:ascii="宋体" w:hAnsi="宋体"/>
          <w:color w:val="auto"/>
          <w:position w:val="6"/>
          <w:szCs w:val="21"/>
          <w:highlight w:val="none"/>
          <w:lang w:val="zh-CN"/>
        </w:rPr>
        <w:t>在收悉采购人将采取施救措施的报告后，应采购人要求，中标人应即刻派员至施救现场进行现场响应式理赔服务。中标人应承担施救所产生的全部合理费用。</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 受理赔案</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11.4.3.1 中标人收到采购人及其代表的报案通知后三个工作日内，应向采购人提交《理赔工作安排日程表》；中标人接到采购人预付赔款申请三个工作日内，应就预付时间、预付金额做出书面回复。</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11.4.3.2 中标人若认为采购人所提交的索赔证明和资料不完整，中标人应在收到采购人索赔单证三个工作日内，以书面方式一次性通知采购人补充提供。如中标人在接到索赔证明和资料三个工作日内未书面提出有关审查核实意见，即视为认可索赔资料完整。</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11.4.3.3保险标的在连续性72小时内遭受暴雨、台风、洪水或其他连续发生的自然灾害所致损失视为一次单独事件，在计算赔偿时视为一次保险事故，并扣除一个相应的免赔额（率）。被保险人可自行决定72小时的起始时间，但若在连续数个72小时时间内发生损失，任何两个或两个以上72小时期限不得重叠。</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11.4.3.4中标人接到采购人各单项、各阶段索赔申请、索赔单证后十个工作日内完成理赔定责定损等工作。索赔金额在人民币20万元以下（含）的赔案（指扣除免赔金额后的索赔金额，以下相关条款的表述同义），应在三个工作日内书面提出异议；索赔金额在人民币20万元以上的，应在七个工作日内书面提出异议。</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11.4.3.5若中标人在上述时间内未提出书面异议，视为双方就赔偿结果达成一致。</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11.4.3.6采购人可指定认可的保险公估公司为该项目保险公估人。</w:t>
      </w:r>
    </w:p>
    <w:p>
      <w:pPr>
        <w:spacing w:line="360" w:lineRule="auto"/>
        <w:rPr>
          <w:rFonts w:ascii="宋体" w:hAnsi="宋体"/>
          <w:color w:val="auto"/>
          <w:position w:val="6"/>
          <w:szCs w:val="21"/>
          <w:highlight w:val="none"/>
        </w:rPr>
      </w:pPr>
      <w:r>
        <w:rPr>
          <w:rFonts w:hint="eastAsia" w:ascii="宋体" w:hAnsi="宋体"/>
          <w:color w:val="auto"/>
          <w:position w:val="6"/>
          <w:szCs w:val="21"/>
          <w:highlight w:val="none"/>
        </w:rPr>
        <w:t xml:space="preserve">    11.4.4 预付赔款</w:t>
      </w:r>
    </w:p>
    <w:p>
      <w:pPr>
        <w:autoSpaceDE w:val="0"/>
        <w:autoSpaceDN w:val="0"/>
        <w:adjustRightInd w:val="0"/>
        <w:spacing w:line="360" w:lineRule="auto"/>
        <w:ind w:firstLine="420" w:firstLineChars="200"/>
        <w:rPr>
          <w:rFonts w:ascii="宋体" w:hAnsi="宋体"/>
          <w:color w:val="auto"/>
          <w:position w:val="6"/>
          <w:szCs w:val="21"/>
          <w:highlight w:val="none"/>
          <w:lang w:val="zh-CN"/>
        </w:rPr>
      </w:pPr>
      <w:r>
        <w:rPr>
          <w:rFonts w:hint="eastAsia" w:ascii="宋体" w:hAnsi="宋体"/>
          <w:color w:val="auto"/>
          <w:position w:val="6"/>
          <w:szCs w:val="21"/>
          <w:highlight w:val="none"/>
        </w:rPr>
        <w:t>对于估损金额在50万元以上的重大事故，如保险责任明确和损失金额基本确立的案件，赔偿金额暂不能全面核定的，根据采购人书面申请，中标人应在5个工作日内，按估损金额的50%预付赔款。</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11.4.5 结案要求</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11.4.5.1 赔款支付原则</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中标人对已确定保险责任但未能确定最终赔偿金额的赔案，应当根据采购人已提供的证明材料支付已确定部分的赔偿金额（或根据11.4.4款的要求，支付“预付赔款”）；中标人在最终确定赔偿金额和赔付处理意见后，应当根据下述11.4.5.4款的要求，支付相应的差额。</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11.4.5.2 拒赔时间要求</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如中标人认为收到的采购人索赔申请不属于保险责任，中标人自签收采购人索赔证明材料之日起三十个工作日内，应向采购人发出书面拒绝赔偿或拒付保险赔偿金的通知书，并载明拒赔依据。如果中标人未在上述时间内提出拒赔，则认为中标人已接受采购人的索赔申请，不得再提出拒赔。</w:t>
      </w:r>
    </w:p>
    <w:p>
      <w:pPr>
        <w:autoSpaceDE w:val="0"/>
        <w:autoSpaceDN w:val="0"/>
        <w:adjustRightInd w:val="0"/>
        <w:spacing w:line="360" w:lineRule="auto"/>
        <w:ind w:firstLine="420" w:firstLineChars="200"/>
        <w:rPr>
          <w:rFonts w:ascii="宋体" w:hAnsi="宋体"/>
          <w:color w:val="auto"/>
          <w:position w:val="6"/>
          <w:szCs w:val="21"/>
          <w:highlight w:val="none"/>
          <w:lang w:val="zh-CN"/>
        </w:rPr>
      </w:pPr>
      <w:r>
        <w:rPr>
          <w:rFonts w:hint="eastAsia" w:ascii="宋体" w:hAnsi="宋体"/>
          <w:color w:val="auto"/>
          <w:position w:val="6"/>
          <w:szCs w:val="21"/>
          <w:highlight w:val="none"/>
        </w:rPr>
        <w:t xml:space="preserve">11.4.5.3 </w:t>
      </w:r>
      <w:r>
        <w:rPr>
          <w:rFonts w:hint="eastAsia" w:ascii="宋体" w:hAnsi="宋体"/>
          <w:color w:val="auto"/>
          <w:position w:val="6"/>
          <w:szCs w:val="21"/>
          <w:highlight w:val="none"/>
          <w:lang w:val="zh-CN"/>
        </w:rPr>
        <w:t>赔款处理原则</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发生保险事故后，应以迅速正常生产工作为前提，依照保单及本协议的相应约定进行赔偿理算、支付赔款。以利于采购人恢复、重置保险财产。</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11.4.5.4 结案时限</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中标人严格按【中华人民共和国保险法】等有关条款的规定为采购人提供服务，承保人先全额垫付保险赔偿金，承诺为采购人建立绿色理赔通道，凡责任明确、损失清楚、索赔单证齐全有效的赔案，承保人应在以下承诺时间内与采购人达成理赔协议并给予赔付：</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赔款在人民币10万元以下的，确保5个工作日赔付；</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赔款在人民币10万元以上的，确保10个工作日赔付；</w:t>
      </w:r>
    </w:p>
    <w:p>
      <w:pPr>
        <w:autoSpaceDE w:val="0"/>
        <w:autoSpaceDN w:val="0"/>
        <w:adjustRightInd w:val="0"/>
        <w:spacing w:line="360" w:lineRule="auto"/>
        <w:ind w:firstLine="420" w:firstLineChars="200"/>
        <w:rPr>
          <w:rFonts w:ascii="宋体" w:hAnsi="宋体"/>
          <w:color w:val="auto"/>
          <w:position w:val="6"/>
          <w:szCs w:val="21"/>
          <w:highlight w:val="none"/>
          <w:lang w:val="zh-CN"/>
        </w:rPr>
      </w:pPr>
      <w:r>
        <w:rPr>
          <w:rFonts w:hint="eastAsia" w:ascii="宋体" w:hAnsi="宋体"/>
          <w:color w:val="auto"/>
          <w:position w:val="6"/>
          <w:szCs w:val="21"/>
          <w:highlight w:val="none"/>
        </w:rPr>
        <w:t>11.4</w:t>
      </w:r>
      <w:r>
        <w:rPr>
          <w:rFonts w:hint="eastAsia" w:ascii="宋体" w:hAnsi="宋体"/>
          <w:color w:val="auto"/>
          <w:position w:val="6"/>
          <w:szCs w:val="21"/>
          <w:highlight w:val="none"/>
          <w:lang w:val="zh-CN"/>
        </w:rPr>
        <w:t>.6 未按规定支付赔偿金的处罚</w:t>
      </w:r>
    </w:p>
    <w:p>
      <w:pPr>
        <w:adjustRightInd w:val="0"/>
        <w:snapToGri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lang w:val="zh-CN"/>
        </w:rPr>
        <w:t>中标人未按本协议上述规定履行义务和承担中标人责任，致使采购人不能按照本协议规定的时间获得赔偿金，中标人应支付</w:t>
      </w:r>
      <w:r>
        <w:rPr>
          <w:rFonts w:hint="eastAsia" w:ascii="宋体" w:hAnsi="宋体"/>
          <w:color w:val="auto"/>
          <w:position w:val="6"/>
          <w:szCs w:val="21"/>
          <w:highlight w:val="none"/>
        </w:rPr>
        <w:t>违约金。违约金=应付赔款金额×实际违约天数×中国人民银行同期贷款基准利率。实际违约时间由采购人据实统计，并在各赔案结算中应用。</w:t>
      </w:r>
    </w:p>
    <w:p>
      <w:pPr>
        <w:adjustRightInd w:val="0"/>
        <w:snapToGri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11.4.7 若发生案情复杂、定损困难或损失标的涉及较强的技术性因素或估损金额较大的事故时，由采购人指定、中标人认可的国内获得保险公估营业许可证的保险公估人进行损失理算。</w:t>
      </w:r>
      <w:r>
        <w:rPr>
          <w:rFonts w:ascii="宋体" w:hAnsi="宋体"/>
          <w:color w:val="auto"/>
          <w:position w:val="6"/>
          <w:szCs w:val="21"/>
          <w:highlight w:val="none"/>
        </w:rPr>
        <w:t>确定</w:t>
      </w:r>
      <w:r>
        <w:rPr>
          <w:rFonts w:hint="eastAsia" w:ascii="宋体" w:hAnsi="宋体"/>
          <w:color w:val="auto"/>
          <w:position w:val="6"/>
          <w:szCs w:val="21"/>
          <w:highlight w:val="none"/>
        </w:rPr>
        <w:t>保险</w:t>
      </w:r>
      <w:r>
        <w:rPr>
          <w:rFonts w:ascii="宋体" w:hAnsi="宋体"/>
          <w:color w:val="auto"/>
          <w:position w:val="6"/>
          <w:szCs w:val="21"/>
          <w:highlight w:val="none"/>
        </w:rPr>
        <w:t>公估人的工作应在</w:t>
      </w:r>
      <w:r>
        <w:rPr>
          <w:rFonts w:hint="eastAsia" w:ascii="宋体" w:hAnsi="宋体"/>
          <w:color w:val="auto"/>
          <w:position w:val="6"/>
          <w:szCs w:val="21"/>
          <w:highlight w:val="none"/>
        </w:rPr>
        <w:t>3</w:t>
      </w:r>
      <w:r>
        <w:rPr>
          <w:rFonts w:ascii="宋体" w:hAnsi="宋体"/>
          <w:color w:val="auto"/>
          <w:position w:val="6"/>
          <w:szCs w:val="21"/>
          <w:highlight w:val="none"/>
        </w:rPr>
        <w:t>个工作日内完成</w:t>
      </w:r>
      <w:r>
        <w:rPr>
          <w:rFonts w:hint="eastAsia" w:ascii="宋体" w:hAnsi="宋体"/>
          <w:color w:val="auto"/>
          <w:position w:val="6"/>
          <w:szCs w:val="21"/>
          <w:highlight w:val="none"/>
        </w:rPr>
        <w:t>，中标人</w:t>
      </w:r>
      <w:r>
        <w:rPr>
          <w:rFonts w:ascii="宋体" w:hAnsi="宋体"/>
          <w:color w:val="auto"/>
          <w:position w:val="6"/>
          <w:szCs w:val="21"/>
          <w:highlight w:val="none"/>
        </w:rPr>
        <w:t>承担聘用保险公估人所产生的费用。</w:t>
      </w:r>
    </w:p>
    <w:p>
      <w:pPr>
        <w:adjustRightInd w:val="0"/>
        <w:snapToGri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11.5 中标人有义务在发生事故时按本保险单约定，由承保人向采购人预付、支付赔偿金。</w:t>
      </w:r>
    </w:p>
    <w:p>
      <w:pPr>
        <w:adjustRightInd w:val="0"/>
        <w:snapToGri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采购人有权要求承保人向其支付全额保险赔偿金，承保人不得以其他内部约定作为其不承担责任或只承担部分责任的抗辩事由。</w:t>
      </w:r>
    </w:p>
    <w:p>
      <w:pPr>
        <w:adjustRightInd w:val="0"/>
        <w:snapToGri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11.6 中标人有义务对所有承保、理赔服务工作进行监督、检查，发生事故时专项服务小组应编制《理赔工作安排日程表》提交采购人，与采购人共同及时修订不合理的理赔服务时间、理赔服务流程。</w:t>
      </w:r>
    </w:p>
    <w:p>
      <w:pPr>
        <w:adjustRightInd w:val="0"/>
        <w:snapToGrid w:val="0"/>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11.7 中标人有义务与采购人共同建立采购人的承保、理赔档案；中标人专项服务小组应于每月结束后3个工作日内向采购人提供分险种理赔统计报表，报表应包括损失发生的时间、地点、损失原因、估损金额、定损金额、赔款等与赔案处理有关的信息。</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11.8 中标人有义务向采购人提供有关保险及民事损害赔偿的法律服务，包括法律咨询、代为聘请律师、代理诉讼行为、协助拟定有关保险法律的文件、文书、合同等。</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11.9定期例会制度。每季度与采购人召开联席会议，对前一阶段工作进行总结并明确下阶段服务计划。</w:t>
      </w:r>
    </w:p>
    <w:p>
      <w:pPr>
        <w:spacing w:line="360" w:lineRule="auto"/>
        <w:ind w:firstLine="420" w:firstLineChars="200"/>
        <w:rPr>
          <w:rFonts w:ascii="宋体" w:hAnsi="宋体"/>
          <w:color w:val="auto"/>
          <w:position w:val="6"/>
          <w:szCs w:val="21"/>
          <w:highlight w:val="none"/>
        </w:rPr>
      </w:pPr>
      <w:r>
        <w:rPr>
          <w:rFonts w:hint="eastAsia" w:ascii="宋体" w:hAnsi="宋体"/>
          <w:color w:val="auto"/>
          <w:position w:val="6"/>
          <w:szCs w:val="21"/>
          <w:highlight w:val="none"/>
        </w:rPr>
        <w:t>11.10中标人给予采购人各项优惠条件，详见投标文件，中标人应积极落实。</w:t>
      </w:r>
    </w:p>
    <w:p>
      <w:pPr>
        <w:pStyle w:val="10"/>
        <w:rPr>
          <w:color w:val="auto"/>
          <w:highlight w:val="none"/>
        </w:rPr>
      </w:pPr>
      <w:r>
        <w:rPr>
          <w:rFonts w:hint="eastAsia"/>
          <w:color w:val="auto"/>
          <w:highlight w:val="none"/>
        </w:rPr>
        <w:t>四、结算方法</w:t>
      </w:r>
    </w:p>
    <w:p>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（1）付款人：</w:t>
      </w:r>
      <w:r>
        <w:rPr>
          <w:rFonts w:hint="eastAsia" w:ascii="宋体" w:hAnsi="宋体" w:cs="宋体"/>
          <w:bCs/>
          <w:color w:val="auto"/>
          <w:szCs w:val="21"/>
          <w:highlight w:val="none"/>
          <w:lang w:eastAsia="zh-CN"/>
        </w:rPr>
        <w:t>永州涔天河灌区工程建设有限责任公司</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（2）付款方式：</w:t>
      </w:r>
      <w:r>
        <w:rPr>
          <w:rFonts w:hint="eastAsia" w:ascii="Times New Roman" w:hAnsi="Times New Roman" w:cs="Times New Roman"/>
          <w:color w:val="auto"/>
          <w:highlight w:val="none"/>
          <w:lang w:val="en-US" w:eastAsia="zh-CN"/>
        </w:rPr>
        <w:t>签</w:t>
      </w:r>
      <w:r>
        <w:rPr>
          <w:rFonts w:hint="eastAsia" w:cs="Times New Roman"/>
          <w:color w:val="auto"/>
          <w:highlight w:val="none"/>
          <w:lang w:val="en-US" w:eastAsia="zh-CN"/>
        </w:rPr>
        <w:t>订</w:t>
      </w:r>
      <w:r>
        <w:rPr>
          <w:rFonts w:hint="eastAsia" w:ascii="Times New Roman" w:hAnsi="Times New Roman" w:cs="Times New Roman"/>
          <w:color w:val="auto"/>
          <w:highlight w:val="none"/>
          <w:lang w:val="en-US" w:eastAsia="zh-CN"/>
        </w:rPr>
        <w:t>合同时双方约定</w:t>
      </w:r>
      <w:r>
        <w:rPr>
          <w:rFonts w:hint="eastAsia" w:ascii="Times New Roman" w:hAnsi="Times New Roman" w:cs="Times New Roman"/>
          <w:color w:val="auto"/>
          <w:highlight w:val="none"/>
          <w:lang w:eastAsia="zh-CN"/>
        </w:rPr>
        <w:t>。</w:t>
      </w:r>
    </w:p>
    <w:p>
      <w:pPr>
        <w:pStyle w:val="10"/>
        <w:rPr>
          <w:color w:val="auto"/>
          <w:highlight w:val="none"/>
        </w:rPr>
      </w:pPr>
      <w:r>
        <w:rPr>
          <w:rFonts w:hint="eastAsia"/>
          <w:color w:val="auto"/>
          <w:highlight w:val="none"/>
        </w:rPr>
        <w:t>五、投标报价方式</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本次投标报价采用保险费率方式，任何一个投标人只能报一个投标保险费率，结算金额=标的物实际评估价×投标保险费率。</w:t>
      </w:r>
    </w:p>
    <w:p>
      <w:pPr>
        <w:spacing w:line="360" w:lineRule="auto"/>
        <w:ind w:firstLine="420" w:firstLineChars="200"/>
        <w:rPr>
          <w:rFonts w:ascii="宋体" w:hAnsi="宋体" w:cs="宋体"/>
          <w:bCs/>
          <w:color w:val="auto"/>
          <w:szCs w:val="21"/>
          <w:highlight w:val="none"/>
        </w:rPr>
      </w:pPr>
    </w:p>
    <w:p>
      <w:pPr>
        <w:autoSpaceDE w:val="0"/>
        <w:autoSpaceDN w:val="0"/>
        <w:adjustRightInd w:val="0"/>
        <w:snapToGrid w:val="0"/>
        <w:spacing w:before="156" w:beforeLines="50" w:after="156" w:afterLines="50" w:line="360" w:lineRule="auto"/>
        <w:ind w:firstLine="1687" w:firstLineChars="800"/>
        <w:rPr>
          <w:rFonts w:hint="eastAsia" w:ascii="黑体" w:eastAsia="黑体"/>
          <w:b/>
          <w:color w:val="auto"/>
          <w:sz w:val="32"/>
          <w:szCs w:val="32"/>
          <w:highlight w:val="none"/>
        </w:rPr>
      </w:pPr>
      <w:r>
        <w:rPr>
          <w:rFonts w:hint="eastAsia" w:ascii="宋体" w:hAnsi="宋体" w:cs="宋体"/>
          <w:b/>
          <w:bCs/>
          <w:color w:val="auto"/>
          <w:szCs w:val="21"/>
          <w:highlight w:val="none"/>
        </w:rPr>
        <w:t>对于上述项目</w:t>
      </w:r>
      <w:r>
        <w:rPr>
          <w:rFonts w:hint="eastAsia" w:ascii="宋体" w:hAnsi="宋体" w:cs="宋体"/>
          <w:b/>
          <w:color w:val="auto"/>
          <w:szCs w:val="21"/>
          <w:highlight w:val="none"/>
        </w:rPr>
        <w:t>要求，投标人应在投标文件中进行回应，作出响应及说明。</w:t>
      </w:r>
    </w:p>
    <w:p>
      <w:pPr>
        <w:pStyle w:val="2"/>
        <w:jc w:val="both"/>
        <w:rPr>
          <w:rFonts w:hint="eastAsia"/>
          <w:b/>
          <w:bCs/>
          <w:color w:val="auto"/>
          <w:highlight w:val="none"/>
        </w:rPr>
      </w:pPr>
    </w:p>
    <w:p>
      <w:pPr>
        <w:pStyle w:val="2"/>
        <w:jc w:val="center"/>
        <w:rPr>
          <w:rFonts w:hint="eastAsia"/>
          <w:b/>
          <w:bCs/>
          <w:color w:val="auto"/>
          <w:sz w:val="36"/>
          <w:szCs w:val="44"/>
          <w:highlight w:val="none"/>
        </w:rPr>
      </w:pPr>
      <w:r>
        <w:rPr>
          <w:rFonts w:hint="eastAsia"/>
          <w:b/>
          <w:bCs/>
          <w:color w:val="auto"/>
          <w:sz w:val="36"/>
          <w:szCs w:val="44"/>
          <w:highlight w:val="none"/>
        </w:rPr>
        <w:t>厂房设备保险清单</w:t>
      </w:r>
    </w:p>
    <w:tbl>
      <w:tblPr>
        <w:tblStyle w:val="29"/>
        <w:tblW w:w="9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911"/>
        <w:gridCol w:w="2169"/>
        <w:gridCol w:w="1052"/>
        <w:gridCol w:w="1079"/>
        <w:gridCol w:w="771"/>
        <w:gridCol w:w="1010"/>
        <w:gridCol w:w="1149"/>
        <w:gridCol w:w="1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电站</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资产名称</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类别</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使用部门</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原值原币（万元）</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设备价值（万元）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安装费（万元）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左岸渠首电站</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发电设备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auto"/>
                <w:sz w:val="18"/>
                <w:szCs w:val="18"/>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水轮机设备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348.42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317.56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489.99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447.54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主阀设备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301.02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282.45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起重设备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62.90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54.42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水利机械辅助设备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104.39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49.58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电气设备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361.14</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214.81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146.32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主变压器设备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83.70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80.39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高压电气设备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62.06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56.07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一次拉线及其他安装设备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15.68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通信设备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67.85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63.56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通风采暖设备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9.40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8.31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计算机监控系统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83.88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79.85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工业电视系统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37.16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37.16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消防设备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80.88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67.73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启闭机设备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4.20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3.19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阀门设备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320.85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297.32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右岸渠首电站</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发电设备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水轮机设备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350.53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319.67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489.99</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447.54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主阀设备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301.02</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282.45</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起重设备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112.90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104.42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水利机械辅助设备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104.15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49.58</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54.56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电气设备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333.27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204.19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129.08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主变压器设备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106.27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101.29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高压电气设备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24.68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22.30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通信设备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67.85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63.56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通风采暖设备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9.40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8.31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计算机监控系统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79.42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75.60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工业电视系统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37.16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37.16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消防设备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80.88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67.73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启闭机设备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4.20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3.19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主阀设备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320.85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297.32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跌水电站</w:t>
            </w: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发电设备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0.00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水轮机设备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135.85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119.34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127.00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115.08</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主阀设备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335.66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307.94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起重设备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51.76</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43.54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水利机械辅助设备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53.67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22.77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auto"/>
                <w:sz w:val="22"/>
                <w:szCs w:val="22"/>
                <w:highlight w:val="none"/>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电气设备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210.25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146.54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63.71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通信设备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通风采暖设备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4.07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3.71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9</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计算机监控系统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37.93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36.10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工业电视系统</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37.16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37.16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消防设备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63.46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53.74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启闭机设备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7.23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6.37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13</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主阀设备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131.48</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122.11</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四</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
                <w:i w:val="0"/>
                <w:color w:val="000000"/>
                <w:kern w:val="0"/>
                <w:sz w:val="18"/>
                <w:szCs w:val="18"/>
                <w:u w:val="none"/>
                <w:lang w:val="en-US" w:eastAsia="zh-CN" w:bidi="ar"/>
              </w:rPr>
              <w:t>灌区白芒营提灌泵站</w:t>
            </w: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
                <w:i w:val="0"/>
                <w:color w:val="000000"/>
                <w:kern w:val="0"/>
                <w:sz w:val="18"/>
                <w:szCs w:val="18"/>
                <w:u w:val="none"/>
                <w:lang w:val="en-US" w:eastAsia="zh-CN" w:bidi="ar"/>
              </w:rPr>
              <w:t>发电设备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en-US" w:eastAsia="zh-CN"/>
              </w:rPr>
            </w:pP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lang w:val="en-US" w:eastAsia="zh-CN"/>
              </w:rPr>
            </w:pP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lang w:val="en-US" w:eastAsia="zh-CN"/>
              </w:rPr>
            </w:pP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highlight w:val="none"/>
                <w:u w:val="none"/>
                <w:lang w:val="en-US" w:eastAsia="zh-CN"/>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提灌泵站桥式起重机设备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36.746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36.746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after="180" w:afterAutospacing="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泵站主变压器、干式变压器及其附属设备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38.9980</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36.06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w:t>
            </w:r>
            <w:r>
              <w:rPr>
                <w:rFonts w:hint="eastAsia"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eastAsia="zh-CN"/>
              </w:rPr>
              <w:t>9380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after="180" w:afterAutospacing="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进口闸门检修电动葫芦、出口电动阀门检修电动葫芦</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6.4282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4.6950</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1</w:t>
            </w:r>
            <w:r>
              <w:rPr>
                <w:rFonts w:hint="eastAsia"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eastAsia="zh-CN"/>
              </w:rPr>
              <w:t>7332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4</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提灌泵站立式斜流(混流)水泵、电动机及其附属设备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413.5832</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411.85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89</w:t>
            </w:r>
            <w:r>
              <w:rPr>
                <w:rFonts w:hint="eastAsia"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eastAsia="zh-CN"/>
              </w:rPr>
              <w:t>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提灌站照明装置及附属设备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93.7697</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4.37322</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21</w:t>
            </w:r>
            <w:r>
              <w:rPr>
                <w:rFonts w:hint="eastAsia"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eastAsia="zh-CN"/>
              </w:rPr>
              <w:t>0467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提灌泵站消防系统设备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76.8269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55.78013</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7</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泵站高、低压配电装置及其附属设备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152.0156</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152.0156</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29</w:t>
            </w:r>
            <w:r>
              <w:rPr>
                <w:rFonts w:hint="eastAsia"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eastAsia="zh-CN"/>
              </w:rPr>
              <w:t>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8</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提灌泵站综合自动化系统设备</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114.9573</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85.8389</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8</w:t>
            </w:r>
            <w:r>
              <w:rPr>
                <w:rFonts w:hint="eastAsia" w:ascii="宋体" w:hAnsi="宋体" w:eastAsia="宋体" w:cs="宋体"/>
                <w:i w:val="0"/>
                <w:iCs w:val="0"/>
                <w:color w:val="auto"/>
                <w:sz w:val="18"/>
                <w:szCs w:val="18"/>
                <w:highlight w:val="none"/>
                <w:u w:val="none"/>
                <w:lang w:val="en-US" w:eastAsia="zh-CN"/>
              </w:rPr>
              <w:t>.</w:t>
            </w:r>
            <w:r>
              <w:rPr>
                <w:rFonts w:hint="default" w:ascii="宋体" w:hAnsi="宋体" w:eastAsia="宋体" w:cs="宋体"/>
                <w:i w:val="0"/>
                <w:iCs w:val="0"/>
                <w:color w:val="auto"/>
                <w:sz w:val="18"/>
                <w:szCs w:val="18"/>
                <w:highlight w:val="none"/>
                <w:u w:val="none"/>
                <w:lang w:val="en-US" w:eastAsia="zh-CN"/>
              </w:rPr>
              <w:t>9879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9</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提灌泵站管道伸缩节</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26.6879</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17.7</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提灌泵站拍门</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2.4</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2.4</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jc w:val="center"/>
        </w:trPr>
        <w:tc>
          <w:tcPr>
            <w:tcW w:w="5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11</w:t>
            </w:r>
          </w:p>
        </w:tc>
        <w:tc>
          <w:tcPr>
            <w:tcW w:w="91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c>
          <w:tcPr>
            <w:tcW w:w="216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提灌泵站避雷针</w:t>
            </w:r>
          </w:p>
        </w:tc>
        <w:tc>
          <w:tcPr>
            <w:tcW w:w="105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发电设备</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发电厂房</w:t>
            </w:r>
          </w:p>
        </w:tc>
        <w:tc>
          <w:tcPr>
            <w:tcW w:w="771"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w:t>
            </w: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1.85</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1.85</w:t>
            </w:r>
          </w:p>
        </w:tc>
        <w:tc>
          <w:tcPr>
            <w:tcW w:w="10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exact"/>
          <w:jc w:val="center"/>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default" w:ascii="宋体" w:hAnsi="宋体" w:eastAsia="宋体" w:cs="宋体"/>
                <w:b/>
                <w:bCs/>
                <w:i w:val="0"/>
                <w:iCs w:val="0"/>
                <w:color w:val="auto"/>
                <w:sz w:val="21"/>
                <w:szCs w:val="21"/>
                <w:highlight w:val="none"/>
                <w:u w:val="none"/>
                <w:lang w:val="en-US" w:eastAsia="zh-CN"/>
              </w:rPr>
              <w:t>合计</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p>
        </w:tc>
        <w:tc>
          <w:tcPr>
            <w:tcW w:w="21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single"/>
                <w:lang w:val="en-US" w:eastAsia="zh-CN"/>
              </w:rPr>
            </w:pP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p>
        </w:tc>
        <w:tc>
          <w:tcPr>
            <w:tcW w:w="771" w:type="dxa"/>
            <w:tcBorders>
              <w:top w:val="single" w:color="auto" w:sz="4" w:space="0"/>
              <w:left w:val="single" w:color="auto" w:sz="4" w:space="0"/>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p>
        </w:tc>
        <w:tc>
          <w:tcPr>
            <w:tcW w:w="101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7019.96</w:t>
            </w:r>
          </w:p>
        </w:tc>
        <w:tc>
          <w:tcPr>
            <w:tcW w:w="1149" w:type="dxa"/>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auto"/>
                <w:sz w:val="21"/>
                <w:szCs w:val="21"/>
                <w:highlight w:val="none"/>
                <w:u w:val="none"/>
                <w:lang w:val="en-US" w:eastAsia="zh-CN"/>
              </w:rPr>
            </w:pPr>
            <w:r>
              <w:rPr>
                <w:rFonts w:hint="default" w:ascii="宋体" w:hAnsi="宋体" w:cs="宋体"/>
                <w:b/>
                <w:bCs/>
                <w:i w:val="0"/>
                <w:iCs w:val="0"/>
                <w:color w:val="auto"/>
                <w:sz w:val="21"/>
                <w:szCs w:val="21"/>
                <w:highlight w:val="none"/>
                <w:u w:val="none"/>
                <w:lang w:val="en-US" w:eastAsia="zh-CN"/>
              </w:rPr>
              <w:t>5</w:t>
            </w:r>
            <w:r>
              <w:rPr>
                <w:rFonts w:hint="eastAsia" w:ascii="宋体" w:hAnsi="宋体" w:cs="宋体"/>
                <w:b/>
                <w:bCs/>
                <w:i w:val="0"/>
                <w:iCs w:val="0"/>
                <w:color w:val="auto"/>
                <w:sz w:val="21"/>
                <w:szCs w:val="21"/>
                <w:highlight w:val="none"/>
                <w:u w:val="none"/>
                <w:lang w:val="en-US" w:eastAsia="zh-CN"/>
              </w:rPr>
              <w:t>972</w:t>
            </w:r>
            <w:r>
              <w:rPr>
                <w:rFonts w:hint="default" w:ascii="宋体" w:hAnsi="宋体" w:cs="宋体"/>
                <w:b/>
                <w:bCs/>
                <w:i w:val="0"/>
                <w:iCs w:val="0"/>
                <w:color w:val="auto"/>
                <w:sz w:val="21"/>
                <w:szCs w:val="21"/>
                <w:highlight w:val="none"/>
                <w:u w:val="none"/>
                <w:lang w:val="en-US" w:eastAsia="zh-CN"/>
              </w:rPr>
              <w:t>.</w:t>
            </w:r>
            <w:r>
              <w:rPr>
                <w:rFonts w:hint="eastAsia" w:ascii="宋体" w:hAnsi="宋体" w:cs="宋体"/>
                <w:b/>
                <w:bCs/>
                <w:i w:val="0"/>
                <w:iCs w:val="0"/>
                <w:color w:val="auto"/>
                <w:sz w:val="21"/>
                <w:szCs w:val="21"/>
                <w:highlight w:val="none"/>
                <w:u w:val="none"/>
                <w:lang w:val="en-US" w:eastAsia="zh-CN"/>
              </w:rPr>
              <w:t>04</w:t>
            </w:r>
          </w:p>
        </w:tc>
        <w:tc>
          <w:tcPr>
            <w:tcW w:w="102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1047.92</w:t>
            </w:r>
          </w:p>
        </w:tc>
      </w:tr>
    </w:tbl>
    <w:p>
      <w:pPr>
        <w:pStyle w:val="4"/>
        <w:rPr>
          <w:color w:val="auto"/>
          <w:highlight w:val="none"/>
        </w:rPr>
      </w:pPr>
    </w:p>
    <w:p>
      <w:pPr>
        <w:rPr>
          <w:color w:val="auto"/>
          <w:highlight w:val="none"/>
        </w:rPr>
      </w:pPr>
    </w:p>
    <w:p>
      <w:pPr>
        <w:pStyle w:val="10"/>
        <w:rPr>
          <w:color w:val="auto"/>
          <w:highlight w:val="none"/>
        </w:rPr>
      </w:pPr>
      <w:r>
        <w:rPr>
          <w:rFonts w:hint="eastAsia"/>
          <w:color w:val="auto"/>
          <w:highlight w:val="none"/>
        </w:rPr>
        <w:t>附件：财产综合保险条款和机器损坏保险条款</w:t>
      </w:r>
    </w:p>
    <w:p>
      <w:pPr>
        <w:pStyle w:val="11"/>
        <w:jc w:val="center"/>
        <w:rPr>
          <w:color w:val="auto"/>
          <w:sz w:val="28"/>
          <w:szCs w:val="28"/>
          <w:highlight w:val="none"/>
        </w:rPr>
      </w:pPr>
      <w:r>
        <w:rPr>
          <w:rFonts w:hint="eastAsia"/>
          <w:color w:val="auto"/>
          <w:sz w:val="28"/>
          <w:szCs w:val="28"/>
          <w:highlight w:val="none"/>
        </w:rPr>
        <w:t>财产综合险条款</w:t>
      </w:r>
    </w:p>
    <w:p>
      <w:pPr>
        <w:jc w:val="center"/>
        <w:rPr>
          <w:color w:val="auto"/>
          <w:highlight w:val="none"/>
        </w:rPr>
      </w:pPr>
      <w:r>
        <w:rPr>
          <w:rFonts w:hint="eastAsia"/>
          <w:b/>
          <w:bCs/>
          <w:color w:val="auto"/>
          <w:sz w:val="24"/>
          <w:szCs w:val="24"/>
          <w:highlight w:val="none"/>
        </w:rPr>
        <w:t>（本条款适用电厂和半导体行业）</w:t>
      </w:r>
      <w:bookmarkStart w:id="15" w:name="总则"/>
    </w:p>
    <w:p>
      <w:pPr>
        <w:pStyle w:val="12"/>
        <w:jc w:val="center"/>
        <w:rPr>
          <w:b/>
          <w:color w:val="auto"/>
          <w:highlight w:val="none"/>
        </w:rPr>
      </w:pPr>
      <w:r>
        <w:rPr>
          <w:rFonts w:hint="eastAsia"/>
          <w:b/>
          <w:color w:val="auto"/>
          <w:highlight w:val="none"/>
        </w:rPr>
        <w:t>总则</w:t>
      </w:r>
      <w:bookmarkEnd w:id="15"/>
    </w:p>
    <w:p>
      <w:pPr>
        <w:spacing w:line="360" w:lineRule="auto"/>
        <w:rPr>
          <w:color w:val="auto"/>
          <w:szCs w:val="21"/>
          <w:highlight w:val="none"/>
        </w:rPr>
      </w:pPr>
      <w:r>
        <w:rPr>
          <w:rFonts w:hint="eastAsia"/>
          <w:color w:val="auto"/>
          <w:szCs w:val="21"/>
          <w:highlight w:val="none"/>
        </w:rPr>
        <w:t>第一条  本保险合同由保险条款、投保单、保险单或其他保险凭证以及批单组成。凡涉及本保险合同的约定，均应采用书面形式。</w:t>
      </w:r>
    </w:p>
    <w:p>
      <w:pPr>
        <w:pStyle w:val="12"/>
        <w:jc w:val="center"/>
        <w:rPr>
          <w:b/>
          <w:color w:val="auto"/>
          <w:highlight w:val="none"/>
        </w:rPr>
      </w:pPr>
      <w:r>
        <w:rPr>
          <w:rFonts w:hint="eastAsia"/>
          <w:b/>
          <w:color w:val="auto"/>
          <w:highlight w:val="none"/>
        </w:rPr>
        <w:t>保险标的</w:t>
      </w:r>
    </w:p>
    <w:p>
      <w:pPr>
        <w:spacing w:line="360" w:lineRule="auto"/>
        <w:rPr>
          <w:color w:val="auto"/>
          <w:szCs w:val="21"/>
          <w:highlight w:val="none"/>
        </w:rPr>
      </w:pPr>
      <w:r>
        <w:rPr>
          <w:rFonts w:hint="eastAsia"/>
          <w:color w:val="auto"/>
          <w:szCs w:val="21"/>
          <w:highlight w:val="none"/>
        </w:rPr>
        <w:t>第二条  本保险合同载明地址内的下列财产可作为保险标的：</w:t>
      </w:r>
    </w:p>
    <w:p>
      <w:pPr>
        <w:spacing w:line="360" w:lineRule="auto"/>
        <w:rPr>
          <w:color w:val="auto"/>
          <w:szCs w:val="21"/>
          <w:highlight w:val="none"/>
        </w:rPr>
      </w:pPr>
      <w:r>
        <w:rPr>
          <w:rFonts w:hint="eastAsia"/>
          <w:color w:val="auto"/>
          <w:szCs w:val="21"/>
          <w:highlight w:val="none"/>
        </w:rPr>
        <w:t>（一）属于被保险人所有或与他人共有而由被保险人负责的财产；</w:t>
      </w:r>
    </w:p>
    <w:p>
      <w:pPr>
        <w:spacing w:line="360" w:lineRule="auto"/>
        <w:rPr>
          <w:color w:val="auto"/>
          <w:szCs w:val="21"/>
          <w:highlight w:val="none"/>
        </w:rPr>
      </w:pPr>
      <w:r>
        <w:rPr>
          <w:rFonts w:hint="eastAsia"/>
          <w:color w:val="auto"/>
          <w:szCs w:val="21"/>
          <w:highlight w:val="none"/>
        </w:rPr>
        <w:t>（二）由被保险人经营管理或替他人保管的财产；</w:t>
      </w:r>
    </w:p>
    <w:p>
      <w:pPr>
        <w:spacing w:line="360" w:lineRule="auto"/>
        <w:rPr>
          <w:color w:val="auto"/>
          <w:szCs w:val="21"/>
          <w:highlight w:val="none"/>
        </w:rPr>
      </w:pPr>
      <w:r>
        <w:rPr>
          <w:rFonts w:hint="eastAsia"/>
          <w:color w:val="auto"/>
          <w:szCs w:val="21"/>
          <w:highlight w:val="none"/>
        </w:rPr>
        <w:t>（三）其他具有法律上承认的与被保险人有经济利害关系的财产。</w:t>
      </w:r>
    </w:p>
    <w:p>
      <w:pPr>
        <w:spacing w:line="360" w:lineRule="auto"/>
        <w:rPr>
          <w:color w:val="auto"/>
          <w:szCs w:val="21"/>
          <w:highlight w:val="none"/>
        </w:rPr>
      </w:pPr>
      <w:r>
        <w:rPr>
          <w:rFonts w:hint="eastAsia"/>
          <w:color w:val="auto"/>
          <w:szCs w:val="21"/>
          <w:highlight w:val="none"/>
        </w:rPr>
        <w:t>第三条  本保险合同载明地址内的下列财产未经保险合同双方特别约定并在保险合同中载明保险价值的，不属于本保险合同的保险标的：</w:t>
      </w:r>
    </w:p>
    <w:p>
      <w:pPr>
        <w:spacing w:line="360" w:lineRule="auto"/>
        <w:rPr>
          <w:color w:val="auto"/>
          <w:szCs w:val="21"/>
          <w:highlight w:val="none"/>
        </w:rPr>
      </w:pPr>
      <w:r>
        <w:rPr>
          <w:rFonts w:hint="eastAsia"/>
          <w:color w:val="auto"/>
          <w:szCs w:val="21"/>
          <w:highlight w:val="none"/>
        </w:rPr>
        <w:t>（一） 金银、珠宝、钻石、玉器、首饰、古币、古玩、古书、古画、邮票、字画、艺术品、稀有金属等珍贵财物；</w:t>
      </w:r>
    </w:p>
    <w:p>
      <w:pPr>
        <w:spacing w:line="360" w:lineRule="auto"/>
        <w:rPr>
          <w:color w:val="auto"/>
          <w:szCs w:val="21"/>
          <w:highlight w:val="none"/>
        </w:rPr>
      </w:pPr>
      <w:r>
        <w:rPr>
          <w:rFonts w:hint="eastAsia"/>
          <w:color w:val="auto"/>
          <w:szCs w:val="21"/>
          <w:highlight w:val="none"/>
        </w:rPr>
        <w:t>（二）堤堰、水闸、铁路、道路、涵洞、隧道、桥梁、码头；</w:t>
      </w:r>
    </w:p>
    <w:p>
      <w:pPr>
        <w:spacing w:line="360" w:lineRule="auto"/>
        <w:rPr>
          <w:color w:val="auto"/>
          <w:szCs w:val="21"/>
          <w:highlight w:val="none"/>
        </w:rPr>
      </w:pPr>
      <w:r>
        <w:rPr>
          <w:rFonts w:hint="eastAsia"/>
          <w:color w:val="auto"/>
          <w:szCs w:val="21"/>
          <w:highlight w:val="none"/>
        </w:rPr>
        <w:t>（三）矿井（坑）内的设备和物资；</w:t>
      </w:r>
    </w:p>
    <w:p>
      <w:pPr>
        <w:spacing w:line="360" w:lineRule="auto"/>
        <w:rPr>
          <w:color w:val="auto"/>
          <w:szCs w:val="21"/>
          <w:highlight w:val="none"/>
        </w:rPr>
      </w:pPr>
      <w:r>
        <w:rPr>
          <w:rFonts w:hint="eastAsia"/>
          <w:color w:val="auto"/>
          <w:szCs w:val="21"/>
          <w:highlight w:val="none"/>
        </w:rPr>
        <w:t>（四）便携式通讯装置、便携式计算机设备、便携式照相摄像器材以及其他便携式装置、设备；</w:t>
      </w:r>
    </w:p>
    <w:p>
      <w:pPr>
        <w:spacing w:line="360" w:lineRule="auto"/>
        <w:rPr>
          <w:color w:val="auto"/>
          <w:szCs w:val="21"/>
          <w:highlight w:val="none"/>
        </w:rPr>
      </w:pPr>
      <w:r>
        <w:rPr>
          <w:rFonts w:hint="eastAsia"/>
          <w:color w:val="auto"/>
          <w:szCs w:val="21"/>
          <w:highlight w:val="none"/>
        </w:rPr>
        <w:t>（五）尚未交付使用或验收的工程。</w:t>
      </w:r>
    </w:p>
    <w:p>
      <w:pPr>
        <w:spacing w:line="360" w:lineRule="auto"/>
        <w:rPr>
          <w:color w:val="auto"/>
          <w:szCs w:val="21"/>
          <w:highlight w:val="none"/>
        </w:rPr>
      </w:pPr>
      <w:r>
        <w:rPr>
          <w:rFonts w:hint="eastAsia"/>
          <w:color w:val="auto"/>
          <w:szCs w:val="21"/>
          <w:highlight w:val="none"/>
        </w:rPr>
        <w:t>第四条  下列财产不属于本保险合同的保险标的：</w:t>
      </w:r>
    </w:p>
    <w:p>
      <w:pPr>
        <w:spacing w:line="360" w:lineRule="auto"/>
        <w:rPr>
          <w:color w:val="auto"/>
          <w:szCs w:val="21"/>
          <w:highlight w:val="none"/>
        </w:rPr>
      </w:pPr>
      <w:r>
        <w:rPr>
          <w:rFonts w:hint="eastAsia"/>
          <w:color w:val="auto"/>
          <w:szCs w:val="21"/>
          <w:highlight w:val="none"/>
        </w:rPr>
        <w:t>（一）土地、矿藏、水资源及其他自然资源；</w:t>
      </w:r>
    </w:p>
    <w:p>
      <w:pPr>
        <w:spacing w:line="360" w:lineRule="auto"/>
        <w:rPr>
          <w:color w:val="auto"/>
          <w:szCs w:val="21"/>
          <w:highlight w:val="none"/>
        </w:rPr>
      </w:pPr>
      <w:r>
        <w:rPr>
          <w:rFonts w:hint="eastAsia"/>
          <w:color w:val="auto"/>
          <w:szCs w:val="21"/>
          <w:highlight w:val="none"/>
        </w:rPr>
        <w:t>（二）矿井、矿坑；</w:t>
      </w:r>
    </w:p>
    <w:p>
      <w:pPr>
        <w:spacing w:line="360" w:lineRule="auto"/>
        <w:rPr>
          <w:color w:val="auto"/>
          <w:szCs w:val="21"/>
          <w:highlight w:val="none"/>
        </w:rPr>
      </w:pPr>
      <w:r>
        <w:rPr>
          <w:rFonts w:hint="eastAsia"/>
          <w:color w:val="auto"/>
          <w:szCs w:val="21"/>
          <w:highlight w:val="none"/>
        </w:rPr>
        <w:t>（三）货币、票证、有价证券以及有现金价值的磁卡、集成电路（IC）卡等卡类；</w:t>
      </w:r>
    </w:p>
    <w:p>
      <w:pPr>
        <w:spacing w:line="360" w:lineRule="auto"/>
        <w:rPr>
          <w:color w:val="auto"/>
          <w:szCs w:val="21"/>
          <w:highlight w:val="none"/>
        </w:rPr>
      </w:pPr>
      <w:r>
        <w:rPr>
          <w:rFonts w:hint="eastAsia"/>
          <w:color w:val="auto"/>
          <w:szCs w:val="21"/>
          <w:highlight w:val="none"/>
        </w:rPr>
        <w:t>（四）文件、账册、图表、技术资料、计算机软件、计算机数据资料等无法鉴定价值的财产；</w:t>
      </w:r>
    </w:p>
    <w:p>
      <w:pPr>
        <w:spacing w:line="360" w:lineRule="auto"/>
        <w:rPr>
          <w:color w:val="auto"/>
          <w:szCs w:val="21"/>
          <w:highlight w:val="none"/>
        </w:rPr>
      </w:pPr>
      <w:r>
        <w:rPr>
          <w:rFonts w:hint="eastAsia"/>
          <w:color w:val="auto"/>
          <w:szCs w:val="21"/>
          <w:highlight w:val="none"/>
        </w:rPr>
        <w:t xml:space="preserve">（五）枪支弹药； </w:t>
      </w:r>
    </w:p>
    <w:p>
      <w:pPr>
        <w:spacing w:line="360" w:lineRule="auto"/>
        <w:rPr>
          <w:color w:val="auto"/>
          <w:szCs w:val="21"/>
          <w:highlight w:val="none"/>
        </w:rPr>
      </w:pPr>
      <w:r>
        <w:rPr>
          <w:rFonts w:hint="eastAsia"/>
          <w:color w:val="auto"/>
          <w:szCs w:val="21"/>
          <w:highlight w:val="none"/>
        </w:rPr>
        <w:t>（六）违章建筑、危险建筑、非法占用的财产；</w:t>
      </w:r>
    </w:p>
    <w:p>
      <w:pPr>
        <w:spacing w:line="360" w:lineRule="auto"/>
        <w:rPr>
          <w:color w:val="auto"/>
          <w:szCs w:val="21"/>
          <w:highlight w:val="none"/>
        </w:rPr>
      </w:pPr>
      <w:r>
        <w:rPr>
          <w:rFonts w:hint="eastAsia"/>
          <w:color w:val="auto"/>
          <w:szCs w:val="21"/>
          <w:highlight w:val="none"/>
        </w:rPr>
        <w:t>（七）领取公共行驶执照的机动车辆；</w:t>
      </w:r>
    </w:p>
    <w:p>
      <w:pPr>
        <w:spacing w:line="360" w:lineRule="auto"/>
        <w:rPr>
          <w:color w:val="auto"/>
          <w:szCs w:val="21"/>
          <w:highlight w:val="none"/>
        </w:rPr>
      </w:pPr>
      <w:r>
        <w:rPr>
          <w:rFonts w:hint="eastAsia"/>
          <w:color w:val="auto"/>
          <w:szCs w:val="21"/>
          <w:highlight w:val="none"/>
        </w:rPr>
        <w:t>（八）动物、植物、农作物。</w:t>
      </w:r>
    </w:p>
    <w:p>
      <w:pPr>
        <w:pStyle w:val="12"/>
        <w:jc w:val="center"/>
        <w:rPr>
          <w:b/>
          <w:color w:val="auto"/>
          <w:highlight w:val="none"/>
        </w:rPr>
      </w:pPr>
      <w:r>
        <w:rPr>
          <w:rFonts w:hint="eastAsia"/>
          <w:b/>
          <w:color w:val="auto"/>
          <w:highlight w:val="none"/>
        </w:rPr>
        <w:t>保险责任</w:t>
      </w:r>
    </w:p>
    <w:p>
      <w:pPr>
        <w:spacing w:line="360" w:lineRule="auto"/>
        <w:rPr>
          <w:color w:val="auto"/>
          <w:szCs w:val="21"/>
          <w:highlight w:val="none"/>
        </w:rPr>
      </w:pPr>
      <w:r>
        <w:rPr>
          <w:rFonts w:hint="eastAsia"/>
          <w:color w:val="auto"/>
          <w:szCs w:val="21"/>
          <w:highlight w:val="none"/>
        </w:rPr>
        <w:t>第五条  在保险期间内，由于下列原因造成保险标的的损失，保险人按照本保险合同的约定负责赔偿：</w:t>
      </w:r>
    </w:p>
    <w:p>
      <w:pPr>
        <w:spacing w:line="360" w:lineRule="auto"/>
        <w:rPr>
          <w:color w:val="auto"/>
          <w:szCs w:val="21"/>
          <w:highlight w:val="none"/>
        </w:rPr>
      </w:pPr>
      <w:r>
        <w:rPr>
          <w:rFonts w:hint="eastAsia"/>
          <w:color w:val="auto"/>
          <w:szCs w:val="21"/>
          <w:highlight w:val="none"/>
        </w:rPr>
        <w:t>（一） 火灾、爆炸；</w:t>
      </w:r>
    </w:p>
    <w:p>
      <w:pPr>
        <w:spacing w:line="360" w:lineRule="auto"/>
        <w:rPr>
          <w:color w:val="auto"/>
          <w:szCs w:val="21"/>
          <w:highlight w:val="none"/>
        </w:rPr>
      </w:pPr>
      <w:r>
        <w:rPr>
          <w:rFonts w:hint="eastAsia"/>
          <w:color w:val="auto"/>
          <w:szCs w:val="21"/>
          <w:highlight w:val="none"/>
        </w:rPr>
        <w:t>（二） 雷击、暴雨、洪水、暴风、龙卷风、冰雹、台风、飓风、暴雪、冰凌、突发性滑坡、崩塌、泥石流、地面突然下陷下沉；</w:t>
      </w:r>
    </w:p>
    <w:p>
      <w:pPr>
        <w:spacing w:line="360" w:lineRule="auto"/>
        <w:rPr>
          <w:color w:val="auto"/>
          <w:szCs w:val="21"/>
          <w:highlight w:val="none"/>
        </w:rPr>
      </w:pPr>
      <w:r>
        <w:rPr>
          <w:rFonts w:hint="eastAsia"/>
          <w:color w:val="auto"/>
          <w:szCs w:val="21"/>
          <w:highlight w:val="none"/>
        </w:rPr>
        <w:t>（三）飞行物体及其他空中运行物体坠落。</w:t>
      </w:r>
    </w:p>
    <w:p>
      <w:pPr>
        <w:spacing w:line="360" w:lineRule="auto"/>
        <w:rPr>
          <w:color w:val="auto"/>
          <w:szCs w:val="21"/>
          <w:highlight w:val="none"/>
        </w:rPr>
      </w:pPr>
      <w:r>
        <w:rPr>
          <w:rFonts w:hint="eastAsia"/>
          <w:color w:val="auto"/>
          <w:szCs w:val="21"/>
          <w:highlight w:val="none"/>
        </w:rPr>
        <w:t>前款原因造成的保险事故发生时，为抢救保险标的或防止灾害蔓延，采取必要的、合理的措施而造成保险标的的损失，保险人按照本保险合同的约定也负责赔偿。</w:t>
      </w:r>
    </w:p>
    <w:p>
      <w:pPr>
        <w:spacing w:line="360" w:lineRule="auto"/>
        <w:rPr>
          <w:color w:val="auto"/>
          <w:szCs w:val="21"/>
          <w:highlight w:val="none"/>
        </w:rPr>
      </w:pPr>
      <w:r>
        <w:rPr>
          <w:rFonts w:hint="eastAsia"/>
          <w:color w:val="auto"/>
          <w:szCs w:val="21"/>
          <w:highlight w:val="none"/>
        </w:rPr>
        <w:t>第六条  被保险人拥有财产所有权的自用的供电、供水、供气设备因保险事故遭受损坏，引起停电、停水、停气以致造成保险标的直接损失，保险人按照本保险合同的约定也负责赔偿。</w:t>
      </w:r>
    </w:p>
    <w:p>
      <w:pPr>
        <w:spacing w:line="360" w:lineRule="auto"/>
        <w:rPr>
          <w:color w:val="auto"/>
          <w:szCs w:val="21"/>
          <w:highlight w:val="none"/>
        </w:rPr>
      </w:pPr>
      <w:r>
        <w:rPr>
          <w:rFonts w:hint="eastAsia"/>
          <w:color w:val="auto"/>
          <w:szCs w:val="21"/>
          <w:highlight w:val="none"/>
        </w:rPr>
        <w:t>第七条  保险事故发生后，被保险人为防止或减少保险标的的损失所支付的必要的、合理的费用，保险人按照本保险合同的约定也负责赔偿。</w:t>
      </w:r>
    </w:p>
    <w:p>
      <w:pPr>
        <w:pStyle w:val="12"/>
        <w:jc w:val="center"/>
        <w:rPr>
          <w:b/>
          <w:color w:val="auto"/>
          <w:highlight w:val="none"/>
        </w:rPr>
      </w:pPr>
      <w:r>
        <w:rPr>
          <w:rFonts w:hint="eastAsia"/>
          <w:b/>
          <w:color w:val="auto"/>
          <w:highlight w:val="none"/>
        </w:rPr>
        <w:t>责任免除</w:t>
      </w:r>
    </w:p>
    <w:p>
      <w:pPr>
        <w:spacing w:line="360" w:lineRule="auto"/>
        <w:rPr>
          <w:color w:val="auto"/>
          <w:szCs w:val="21"/>
          <w:highlight w:val="none"/>
        </w:rPr>
      </w:pPr>
      <w:r>
        <w:rPr>
          <w:rFonts w:hint="eastAsia"/>
          <w:color w:val="auto"/>
          <w:szCs w:val="21"/>
          <w:highlight w:val="none"/>
        </w:rPr>
        <w:t>第八条 下列原因造成的损失、费用，保险人不负责赔偿：</w:t>
      </w:r>
    </w:p>
    <w:p>
      <w:pPr>
        <w:spacing w:line="360" w:lineRule="auto"/>
        <w:rPr>
          <w:color w:val="auto"/>
          <w:szCs w:val="21"/>
          <w:highlight w:val="none"/>
        </w:rPr>
      </w:pPr>
      <w:r>
        <w:rPr>
          <w:rFonts w:hint="eastAsia"/>
          <w:color w:val="auto"/>
          <w:szCs w:val="21"/>
          <w:highlight w:val="none"/>
        </w:rPr>
        <w:t>（一）投保人、被保险人及其代表的故意或重大过失行为；</w:t>
      </w:r>
    </w:p>
    <w:p>
      <w:pPr>
        <w:spacing w:line="360" w:lineRule="auto"/>
        <w:rPr>
          <w:color w:val="auto"/>
          <w:szCs w:val="21"/>
          <w:highlight w:val="none"/>
        </w:rPr>
      </w:pPr>
      <w:r>
        <w:rPr>
          <w:rFonts w:hint="eastAsia"/>
          <w:color w:val="auto"/>
          <w:szCs w:val="21"/>
          <w:highlight w:val="none"/>
        </w:rPr>
        <w:t xml:space="preserve">（二）行政行为或司法行为； </w:t>
      </w:r>
    </w:p>
    <w:p>
      <w:pPr>
        <w:spacing w:line="360" w:lineRule="auto"/>
        <w:rPr>
          <w:color w:val="auto"/>
          <w:szCs w:val="21"/>
          <w:highlight w:val="none"/>
        </w:rPr>
      </w:pPr>
      <w:r>
        <w:rPr>
          <w:rFonts w:hint="eastAsia"/>
          <w:color w:val="auto"/>
          <w:szCs w:val="21"/>
          <w:highlight w:val="none"/>
        </w:rPr>
        <w:t xml:space="preserve">（三）战争、类似战争行为、敌对行动、军事行动、武装冲突、罢工、骚乱、暴动、政变、谋反、恐怖活动； </w:t>
      </w:r>
    </w:p>
    <w:p>
      <w:pPr>
        <w:spacing w:line="360" w:lineRule="auto"/>
        <w:rPr>
          <w:color w:val="auto"/>
          <w:szCs w:val="21"/>
          <w:highlight w:val="none"/>
        </w:rPr>
      </w:pPr>
      <w:r>
        <w:rPr>
          <w:rFonts w:hint="eastAsia"/>
          <w:color w:val="auto"/>
          <w:szCs w:val="21"/>
          <w:highlight w:val="none"/>
        </w:rPr>
        <w:t>（四）地震、海啸及其次生灾害；</w:t>
      </w:r>
    </w:p>
    <w:p>
      <w:pPr>
        <w:spacing w:line="360" w:lineRule="auto"/>
        <w:rPr>
          <w:color w:val="auto"/>
          <w:szCs w:val="21"/>
          <w:highlight w:val="none"/>
        </w:rPr>
      </w:pPr>
      <w:r>
        <w:rPr>
          <w:rFonts w:hint="eastAsia"/>
          <w:color w:val="auto"/>
          <w:szCs w:val="21"/>
          <w:highlight w:val="none"/>
        </w:rPr>
        <w:t>（五）核辐射、核裂变、核聚变、核污染及其他放射性污染；</w:t>
      </w:r>
    </w:p>
    <w:p>
      <w:pPr>
        <w:spacing w:line="360" w:lineRule="auto"/>
        <w:rPr>
          <w:color w:val="auto"/>
          <w:szCs w:val="21"/>
          <w:highlight w:val="none"/>
        </w:rPr>
      </w:pPr>
      <w:r>
        <w:rPr>
          <w:rFonts w:hint="eastAsia"/>
          <w:color w:val="auto"/>
          <w:szCs w:val="21"/>
          <w:highlight w:val="none"/>
        </w:rPr>
        <w:t>（六）大气污染、土地污染、水污染及其他非放射性污染，但因保险事故造成的非放射性污染不在此限；</w:t>
      </w:r>
    </w:p>
    <w:p>
      <w:pPr>
        <w:spacing w:line="360" w:lineRule="auto"/>
        <w:rPr>
          <w:color w:val="auto"/>
          <w:szCs w:val="21"/>
          <w:highlight w:val="none"/>
        </w:rPr>
      </w:pPr>
      <w:r>
        <w:rPr>
          <w:rFonts w:hint="eastAsia"/>
          <w:color w:val="auto"/>
          <w:szCs w:val="21"/>
          <w:highlight w:val="none"/>
        </w:rPr>
        <w:t>（七）保险标的的内在或潜在缺陷、自然磨损、自然损耗，大气（气候或气温）变化、正常水位变化或其他渐变原因，物质本身变化、霉烂、受潮、鼠咬、虫蛀、鸟啄、氧化、锈蚀、渗漏、自燃、烘焙；</w:t>
      </w:r>
    </w:p>
    <w:p>
      <w:pPr>
        <w:spacing w:line="360" w:lineRule="auto"/>
        <w:rPr>
          <w:color w:val="auto"/>
          <w:szCs w:val="21"/>
          <w:highlight w:val="none"/>
        </w:rPr>
      </w:pPr>
      <w:r>
        <w:rPr>
          <w:rFonts w:hint="eastAsia"/>
          <w:color w:val="auto"/>
          <w:szCs w:val="21"/>
          <w:highlight w:val="none"/>
        </w:rPr>
        <w:t>（八）水箱、水管爆裂；</w:t>
      </w:r>
      <w:r>
        <w:rPr>
          <w:rFonts w:hint="eastAsia"/>
          <w:color w:val="auto"/>
          <w:szCs w:val="21"/>
          <w:highlight w:val="none"/>
        </w:rPr>
        <w:tab/>
      </w:r>
    </w:p>
    <w:p>
      <w:pPr>
        <w:spacing w:line="360" w:lineRule="auto"/>
        <w:rPr>
          <w:color w:val="auto"/>
          <w:szCs w:val="21"/>
          <w:highlight w:val="none"/>
        </w:rPr>
      </w:pPr>
      <w:r>
        <w:rPr>
          <w:rFonts w:hint="eastAsia"/>
          <w:color w:val="auto"/>
          <w:szCs w:val="21"/>
          <w:highlight w:val="none"/>
        </w:rPr>
        <w:t>（九）盗窃、抢劫。</w:t>
      </w:r>
    </w:p>
    <w:p>
      <w:pPr>
        <w:spacing w:line="360" w:lineRule="auto"/>
        <w:rPr>
          <w:color w:val="auto"/>
          <w:szCs w:val="21"/>
          <w:highlight w:val="none"/>
        </w:rPr>
      </w:pPr>
      <w:r>
        <w:rPr>
          <w:rFonts w:hint="eastAsia"/>
          <w:color w:val="auto"/>
          <w:szCs w:val="21"/>
          <w:highlight w:val="none"/>
        </w:rPr>
        <w:t>第九条  下列损失、费用，保险人也不负责赔偿：</w:t>
      </w:r>
    </w:p>
    <w:p>
      <w:pPr>
        <w:spacing w:line="360" w:lineRule="auto"/>
        <w:rPr>
          <w:color w:val="auto"/>
          <w:szCs w:val="21"/>
          <w:highlight w:val="none"/>
        </w:rPr>
      </w:pPr>
      <w:r>
        <w:rPr>
          <w:rFonts w:hint="eastAsia"/>
          <w:color w:val="auto"/>
          <w:szCs w:val="21"/>
          <w:highlight w:val="none"/>
        </w:rPr>
        <w:t>（一） 保险标的遭受保险事故引起的各种间接损失；</w:t>
      </w:r>
    </w:p>
    <w:p>
      <w:pPr>
        <w:spacing w:line="360" w:lineRule="auto"/>
        <w:rPr>
          <w:color w:val="auto"/>
          <w:szCs w:val="21"/>
          <w:highlight w:val="none"/>
        </w:rPr>
      </w:pPr>
      <w:r>
        <w:rPr>
          <w:rFonts w:hint="eastAsia"/>
          <w:color w:val="auto"/>
          <w:szCs w:val="21"/>
          <w:highlight w:val="none"/>
        </w:rPr>
        <w:t>（二）广告牌、天线、霓虹灯、太阳能装置等建筑物外部附属设施，存放于露天或简易建筑物内部的保险标的以及简易建筑本身，由于雷击、暴雨、洪水、暴风、龙卷风、冰雹、台风、飓风、暴雪、冰凌、沙尘暴造成的损失；</w:t>
      </w:r>
    </w:p>
    <w:p>
      <w:pPr>
        <w:spacing w:line="360" w:lineRule="auto"/>
        <w:rPr>
          <w:color w:val="auto"/>
          <w:szCs w:val="21"/>
          <w:highlight w:val="none"/>
        </w:rPr>
      </w:pPr>
      <w:r>
        <w:rPr>
          <w:rFonts w:hint="eastAsia"/>
          <w:color w:val="auto"/>
          <w:szCs w:val="21"/>
          <w:highlight w:val="none"/>
        </w:rPr>
        <w:t>（三）锅炉及压力容器爆炸造成其本身的损失；</w:t>
      </w:r>
    </w:p>
    <w:p>
      <w:pPr>
        <w:spacing w:line="360" w:lineRule="auto"/>
        <w:rPr>
          <w:color w:val="auto"/>
          <w:szCs w:val="21"/>
          <w:highlight w:val="none"/>
        </w:rPr>
      </w:pPr>
      <w:r>
        <w:rPr>
          <w:rFonts w:hint="eastAsia"/>
          <w:color w:val="auto"/>
          <w:szCs w:val="21"/>
          <w:highlight w:val="none"/>
        </w:rPr>
        <w:t>（四）本保险合同中载明的免赔额或按本保险合同中载明的免赔率计算的免赔额。</w:t>
      </w:r>
    </w:p>
    <w:p>
      <w:pPr>
        <w:spacing w:line="360" w:lineRule="auto"/>
        <w:rPr>
          <w:color w:val="auto"/>
          <w:szCs w:val="21"/>
          <w:highlight w:val="none"/>
        </w:rPr>
      </w:pPr>
      <w:r>
        <w:rPr>
          <w:rFonts w:hint="eastAsia"/>
          <w:color w:val="auto"/>
          <w:szCs w:val="21"/>
          <w:highlight w:val="none"/>
        </w:rPr>
        <w:t xml:space="preserve"> 第十条 其他不属于本保险合同责任范围内的损失和费用，保险人不负责赔偿。</w:t>
      </w:r>
    </w:p>
    <w:p>
      <w:pPr>
        <w:pStyle w:val="12"/>
        <w:jc w:val="center"/>
        <w:rPr>
          <w:b/>
          <w:color w:val="auto"/>
          <w:highlight w:val="none"/>
        </w:rPr>
      </w:pPr>
      <w:r>
        <w:rPr>
          <w:rFonts w:hint="eastAsia"/>
          <w:b/>
          <w:color w:val="auto"/>
          <w:highlight w:val="none"/>
        </w:rPr>
        <w:t>保险价值、保险金额与免赔额（率）</w:t>
      </w:r>
    </w:p>
    <w:p>
      <w:pPr>
        <w:spacing w:line="360" w:lineRule="auto"/>
        <w:rPr>
          <w:color w:val="auto"/>
          <w:szCs w:val="21"/>
          <w:highlight w:val="none"/>
        </w:rPr>
      </w:pPr>
      <w:r>
        <w:rPr>
          <w:rFonts w:hint="eastAsia"/>
          <w:color w:val="auto"/>
          <w:szCs w:val="21"/>
          <w:highlight w:val="none"/>
        </w:rPr>
        <w:t xml:space="preserve">    第十一条  保险标的的保险价值可以为出险时的重置价值、出险时的账面余额、出险时的市场价值或其他价值，由投保人与保险人协商确定，并在本保险合同中载明。</w:t>
      </w:r>
    </w:p>
    <w:p>
      <w:pPr>
        <w:spacing w:line="360" w:lineRule="auto"/>
        <w:rPr>
          <w:color w:val="auto"/>
          <w:szCs w:val="21"/>
          <w:highlight w:val="none"/>
        </w:rPr>
      </w:pPr>
      <w:r>
        <w:rPr>
          <w:rFonts w:hint="eastAsia"/>
          <w:color w:val="auto"/>
          <w:szCs w:val="21"/>
          <w:highlight w:val="none"/>
        </w:rPr>
        <w:t>第十二条  保险金额由投保人参照保险价值自行确定，并在保险合同中载明。保险金额不得超过保险价值。超过保险价值的，超过部分无效，保险人应当退还相应的保险费。</w:t>
      </w:r>
    </w:p>
    <w:p>
      <w:pPr>
        <w:spacing w:line="360" w:lineRule="auto"/>
        <w:rPr>
          <w:color w:val="auto"/>
          <w:szCs w:val="21"/>
          <w:highlight w:val="none"/>
        </w:rPr>
      </w:pPr>
      <w:r>
        <w:rPr>
          <w:rFonts w:hint="eastAsia"/>
          <w:color w:val="auto"/>
          <w:szCs w:val="21"/>
          <w:highlight w:val="none"/>
        </w:rPr>
        <w:t>第十三条  免赔额（率）由投保人与保险人在订立保险合同时协商确定，并在保险合同中载明。</w:t>
      </w:r>
    </w:p>
    <w:p>
      <w:pPr>
        <w:spacing w:line="360" w:lineRule="auto"/>
        <w:rPr>
          <w:color w:val="auto"/>
          <w:szCs w:val="21"/>
          <w:highlight w:val="none"/>
        </w:rPr>
      </w:pPr>
      <w:r>
        <w:rPr>
          <w:rFonts w:hint="eastAsia"/>
          <w:color w:val="auto"/>
          <w:szCs w:val="21"/>
          <w:highlight w:val="none"/>
        </w:rPr>
        <w:t>保险期间</w:t>
      </w:r>
    </w:p>
    <w:p>
      <w:pPr>
        <w:spacing w:line="360" w:lineRule="auto"/>
        <w:rPr>
          <w:color w:val="auto"/>
          <w:szCs w:val="21"/>
          <w:highlight w:val="none"/>
        </w:rPr>
      </w:pPr>
      <w:r>
        <w:rPr>
          <w:rFonts w:hint="eastAsia"/>
          <w:color w:val="auto"/>
          <w:szCs w:val="21"/>
          <w:highlight w:val="none"/>
        </w:rPr>
        <w:t>第十四条  除另有约定外，保险期间为一年，以保险单载明的起讫时间为准。</w:t>
      </w:r>
    </w:p>
    <w:p>
      <w:pPr>
        <w:pStyle w:val="12"/>
        <w:jc w:val="center"/>
        <w:rPr>
          <w:b/>
          <w:color w:val="auto"/>
          <w:highlight w:val="none"/>
        </w:rPr>
      </w:pPr>
      <w:r>
        <w:rPr>
          <w:rFonts w:hint="eastAsia"/>
          <w:b/>
          <w:color w:val="auto"/>
          <w:highlight w:val="none"/>
        </w:rPr>
        <w:t>保险人义务</w:t>
      </w:r>
    </w:p>
    <w:p>
      <w:pPr>
        <w:spacing w:line="360" w:lineRule="auto"/>
        <w:rPr>
          <w:color w:val="auto"/>
          <w:szCs w:val="21"/>
          <w:highlight w:val="none"/>
        </w:rPr>
      </w:pPr>
      <w:r>
        <w:rPr>
          <w:rFonts w:hint="eastAsia"/>
          <w:color w:val="auto"/>
          <w:szCs w:val="21"/>
          <w:highlight w:val="none"/>
        </w:rPr>
        <w:t>第十五条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line="360" w:lineRule="auto"/>
        <w:rPr>
          <w:color w:val="auto"/>
          <w:szCs w:val="21"/>
          <w:highlight w:val="none"/>
        </w:rPr>
      </w:pPr>
      <w:r>
        <w:rPr>
          <w:rFonts w:hint="eastAsia"/>
          <w:color w:val="auto"/>
          <w:szCs w:val="21"/>
          <w:highlight w:val="none"/>
        </w:rPr>
        <w:t>第十六条  本保险合同成立后，保险人应当及时向投保人签发保险单或其他保险凭证。</w:t>
      </w:r>
    </w:p>
    <w:p>
      <w:pPr>
        <w:spacing w:line="360" w:lineRule="auto"/>
        <w:rPr>
          <w:color w:val="auto"/>
          <w:szCs w:val="21"/>
          <w:highlight w:val="none"/>
        </w:rPr>
      </w:pPr>
      <w:r>
        <w:rPr>
          <w:rFonts w:hint="eastAsia"/>
          <w:color w:val="auto"/>
          <w:szCs w:val="21"/>
          <w:highlight w:val="none"/>
        </w:rPr>
        <w:t>第十七条  保险人依据第二十一条所取得的保险合同解除权，自保险人知道有解除事由之日起，超过三十日不行使而消灭。自保险合同成立之日起超过二年的，保险人不得解除合同；发生保险事故的，保险人承担赔偿责任。</w:t>
      </w:r>
    </w:p>
    <w:p>
      <w:pPr>
        <w:spacing w:line="360" w:lineRule="auto"/>
        <w:rPr>
          <w:color w:val="auto"/>
          <w:szCs w:val="21"/>
          <w:highlight w:val="none"/>
        </w:rPr>
      </w:pPr>
      <w:r>
        <w:rPr>
          <w:rFonts w:hint="eastAsia"/>
          <w:color w:val="auto"/>
          <w:szCs w:val="21"/>
          <w:highlight w:val="none"/>
        </w:rPr>
        <w:t>保险人在合同订立时已经知道投保人未如实告知的情况的，保险人不得解除合同；发生保险事故的，保险人应当承担赔偿责任。</w:t>
      </w:r>
    </w:p>
    <w:p>
      <w:pPr>
        <w:spacing w:line="360" w:lineRule="auto"/>
        <w:rPr>
          <w:color w:val="auto"/>
          <w:szCs w:val="21"/>
          <w:highlight w:val="none"/>
        </w:rPr>
      </w:pPr>
      <w:r>
        <w:rPr>
          <w:rFonts w:hint="eastAsia"/>
          <w:color w:val="auto"/>
          <w:szCs w:val="21"/>
          <w:highlight w:val="none"/>
        </w:rPr>
        <w:t>第十八条 保险人按照第二十七条的约定，认为被保险人提供的有关索赔的证明和资料不完整的，应当及时一次性通知投保人、被保险人补充提供。</w:t>
      </w:r>
    </w:p>
    <w:p>
      <w:pPr>
        <w:spacing w:line="360" w:lineRule="auto"/>
        <w:rPr>
          <w:color w:val="auto"/>
          <w:szCs w:val="21"/>
          <w:highlight w:val="none"/>
        </w:rPr>
      </w:pPr>
      <w:r>
        <w:rPr>
          <w:rFonts w:hint="eastAsia"/>
          <w:color w:val="auto"/>
          <w:szCs w:val="21"/>
          <w:highlight w:val="none"/>
        </w:rPr>
        <w:t>第十九条  保险人收到被保险人的赔偿保险金的请求后，应当及时作出是否属于保险责任的核定；情形复杂的，应当在三十日内作出核定，但保险合同另有约定的除外。</w:t>
      </w:r>
    </w:p>
    <w:p>
      <w:pPr>
        <w:spacing w:line="360" w:lineRule="auto"/>
        <w:rPr>
          <w:color w:val="auto"/>
          <w:szCs w:val="21"/>
          <w:highlight w:val="none"/>
        </w:rPr>
      </w:pPr>
      <w:r>
        <w:rPr>
          <w:rFonts w:hint="eastAsia"/>
          <w:color w:val="auto"/>
          <w:szCs w:val="21"/>
          <w:highlight w:val="none"/>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line="360" w:lineRule="auto"/>
        <w:rPr>
          <w:color w:val="auto"/>
          <w:szCs w:val="21"/>
          <w:highlight w:val="none"/>
        </w:rPr>
      </w:pPr>
      <w:r>
        <w:rPr>
          <w:rFonts w:hint="eastAsia"/>
          <w:color w:val="auto"/>
          <w:szCs w:val="21"/>
          <w:highlight w:val="none"/>
        </w:rPr>
        <w:t>第二十条 保险人自收到赔偿的请求和有关证明、资料之日起六十日内，对其赔偿保险金的数额不能确定的，应当根据已有证明和资料可以确定的数额先予支付；保险人最终确定赔偿的数额后，应当支付相应的差额。 </w:t>
      </w:r>
    </w:p>
    <w:p>
      <w:pPr>
        <w:pStyle w:val="12"/>
        <w:jc w:val="center"/>
        <w:rPr>
          <w:b/>
          <w:color w:val="auto"/>
          <w:highlight w:val="none"/>
        </w:rPr>
      </w:pPr>
      <w:r>
        <w:rPr>
          <w:rFonts w:hint="eastAsia"/>
          <w:b/>
          <w:color w:val="auto"/>
          <w:highlight w:val="none"/>
        </w:rPr>
        <w:t>投保人、被保险人义务</w:t>
      </w:r>
    </w:p>
    <w:p>
      <w:pPr>
        <w:spacing w:line="360" w:lineRule="auto"/>
        <w:rPr>
          <w:rFonts w:hint="eastAsia"/>
          <w:color w:val="auto"/>
          <w:szCs w:val="21"/>
          <w:highlight w:val="none"/>
        </w:rPr>
      </w:pPr>
      <w:r>
        <w:rPr>
          <w:rFonts w:hint="eastAsia"/>
          <w:color w:val="auto"/>
          <w:szCs w:val="21"/>
          <w:highlight w:val="none"/>
        </w:rPr>
        <w:t>第二十一条  订立保险合同，保险人就保险标的或者被保险人的有关情况提出询问的，投保人应当如实告知，并如实填写投保单。</w:t>
      </w:r>
    </w:p>
    <w:p>
      <w:pPr>
        <w:spacing w:line="360" w:lineRule="auto"/>
        <w:rPr>
          <w:rFonts w:hint="eastAsia"/>
          <w:color w:val="auto"/>
          <w:szCs w:val="21"/>
          <w:highlight w:val="none"/>
        </w:rPr>
      </w:pPr>
      <w:r>
        <w:rPr>
          <w:rFonts w:hint="eastAsia"/>
          <w:color w:val="auto"/>
          <w:szCs w:val="21"/>
          <w:highlight w:val="none"/>
        </w:rPr>
        <w:t>投保人故意或者因重大过失未履行前款规定的如实告知义务，足以影响保险人决定是否同意承保或者提高保险费率的，保险人有权解除合同。</w:t>
      </w:r>
    </w:p>
    <w:p>
      <w:pPr>
        <w:spacing w:line="360" w:lineRule="auto"/>
        <w:rPr>
          <w:rFonts w:hint="eastAsia"/>
          <w:color w:val="auto"/>
          <w:szCs w:val="21"/>
          <w:highlight w:val="none"/>
        </w:rPr>
      </w:pPr>
      <w:r>
        <w:rPr>
          <w:rFonts w:hint="eastAsia"/>
          <w:color w:val="auto"/>
          <w:szCs w:val="21"/>
          <w:highlight w:val="none"/>
        </w:rPr>
        <w:t>投保人故意不履行如实告知义务的，保险人对于合同解除前发生的保险事故，不承担赔偿责任，并不退还保险费。</w:t>
      </w:r>
    </w:p>
    <w:p>
      <w:pPr>
        <w:spacing w:line="360" w:lineRule="auto"/>
        <w:rPr>
          <w:rFonts w:hint="eastAsia"/>
          <w:color w:val="auto"/>
          <w:szCs w:val="21"/>
          <w:highlight w:val="none"/>
        </w:rPr>
      </w:pPr>
      <w:r>
        <w:rPr>
          <w:rFonts w:hint="eastAsia"/>
          <w:color w:val="auto"/>
          <w:szCs w:val="21"/>
          <w:highlight w:val="none"/>
        </w:rPr>
        <w:t>投保人因重大过失未履行如实告知义务，对保险事故的发生有严重影响的，保险人对于合同解除前发生的保险事故，不承担赔偿责任，但应当退还保险费。</w:t>
      </w:r>
    </w:p>
    <w:p>
      <w:pPr>
        <w:spacing w:line="360" w:lineRule="auto"/>
        <w:rPr>
          <w:color w:val="auto"/>
          <w:szCs w:val="21"/>
          <w:highlight w:val="none"/>
        </w:rPr>
      </w:pPr>
      <w:r>
        <w:rPr>
          <w:rFonts w:hint="eastAsia"/>
          <w:color w:val="auto"/>
          <w:szCs w:val="21"/>
          <w:highlight w:val="none"/>
        </w:rPr>
        <w:t>第二十二条  投保人应按约定交付保险费。</w:t>
      </w:r>
    </w:p>
    <w:p>
      <w:pPr>
        <w:spacing w:line="360" w:lineRule="auto"/>
        <w:rPr>
          <w:color w:val="auto"/>
          <w:szCs w:val="21"/>
          <w:highlight w:val="none"/>
        </w:rPr>
      </w:pPr>
      <w:r>
        <w:rPr>
          <w:rFonts w:hint="eastAsia"/>
          <w:color w:val="auto"/>
          <w:szCs w:val="21"/>
          <w:highlight w:val="none"/>
        </w:rPr>
        <w:t>约定一次性交付保险费的，投保人在约定交费日后交付保险费的，保险人对交费之前发生的保险事故不承担保险责任。</w:t>
      </w:r>
    </w:p>
    <w:p>
      <w:pPr>
        <w:spacing w:line="360" w:lineRule="auto"/>
        <w:rPr>
          <w:color w:val="auto"/>
          <w:szCs w:val="21"/>
          <w:highlight w:val="none"/>
        </w:rPr>
      </w:pPr>
      <w:r>
        <w:rPr>
          <w:rFonts w:hint="eastAsia"/>
          <w:color w:val="auto"/>
          <w:szCs w:val="21"/>
          <w:highlight w:val="none"/>
        </w:rPr>
        <w:t>约定分期交付保险费的，保险人按照保险事故发生前保险人实际收取保险费总额与投保人应当交付的保险费的比例承担保险责任，投保人应当交付的保险费是指截至保险事故发生时投保人按约定分期应该缴纳的保费总额。</w:t>
      </w:r>
    </w:p>
    <w:p>
      <w:pPr>
        <w:spacing w:line="360" w:lineRule="auto"/>
        <w:rPr>
          <w:color w:val="auto"/>
          <w:szCs w:val="21"/>
          <w:highlight w:val="none"/>
        </w:rPr>
      </w:pPr>
      <w:r>
        <w:rPr>
          <w:rFonts w:hint="eastAsia"/>
          <w:color w:val="auto"/>
          <w:szCs w:val="21"/>
          <w:highlight w:val="none"/>
        </w:rPr>
        <w:t>第二十三条被保险人应当遵守国家有关消防、安全、生产操作、劳动保护等方面的相关法律、法规及规定，加强管理，采取合理的预防措施，尽力避免或减少责任事故的发生，维护保险标的的安全。</w:t>
      </w:r>
    </w:p>
    <w:p>
      <w:pPr>
        <w:spacing w:line="360" w:lineRule="auto"/>
        <w:rPr>
          <w:color w:val="auto"/>
          <w:szCs w:val="21"/>
          <w:highlight w:val="none"/>
        </w:rPr>
      </w:pPr>
      <w:r>
        <w:rPr>
          <w:rFonts w:hint="eastAsia"/>
          <w:color w:val="auto"/>
          <w:szCs w:val="21"/>
          <w:highlight w:val="none"/>
        </w:rPr>
        <w:t>保险人可以对被保险人遵守前款约定的情况进行检查，向投保人、被保险人提出消除不安全因素和隐患的书面建议，投保人、被保险人应该认真付诸实施。</w:t>
      </w:r>
    </w:p>
    <w:p>
      <w:pPr>
        <w:spacing w:line="360" w:lineRule="auto"/>
        <w:rPr>
          <w:color w:val="auto"/>
          <w:szCs w:val="21"/>
          <w:highlight w:val="none"/>
        </w:rPr>
      </w:pPr>
      <w:r>
        <w:rPr>
          <w:rFonts w:hint="eastAsia"/>
          <w:color w:val="auto"/>
          <w:szCs w:val="21"/>
          <w:highlight w:val="none"/>
        </w:rPr>
        <w:t>投保人、被保险人未按照约定履行其对保险标的的安全应尽责任的，保险人有权要求增加保险费或者解除合同。</w:t>
      </w:r>
    </w:p>
    <w:p>
      <w:pPr>
        <w:spacing w:line="360" w:lineRule="auto"/>
        <w:rPr>
          <w:color w:val="auto"/>
          <w:szCs w:val="21"/>
          <w:highlight w:val="none"/>
        </w:rPr>
      </w:pPr>
      <w:r>
        <w:rPr>
          <w:rFonts w:hint="eastAsia"/>
          <w:color w:val="auto"/>
          <w:szCs w:val="21"/>
          <w:highlight w:val="none"/>
        </w:rPr>
        <w:t>第二十四条保险标的转让的，被保险人或者受让人应当及时通知保险人。</w:t>
      </w:r>
    </w:p>
    <w:p>
      <w:pPr>
        <w:spacing w:line="360" w:lineRule="auto"/>
        <w:rPr>
          <w:color w:val="auto"/>
          <w:szCs w:val="21"/>
          <w:highlight w:val="none"/>
        </w:rPr>
      </w:pPr>
      <w:r>
        <w:rPr>
          <w:rFonts w:hint="eastAsia"/>
          <w:color w:val="auto"/>
          <w:szCs w:val="21"/>
          <w:highlight w:val="none"/>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pacing w:line="360" w:lineRule="auto"/>
        <w:rPr>
          <w:color w:val="auto"/>
          <w:szCs w:val="21"/>
          <w:highlight w:val="none"/>
        </w:rPr>
      </w:pPr>
      <w:r>
        <w:rPr>
          <w:rFonts w:hint="eastAsia"/>
          <w:color w:val="auto"/>
          <w:szCs w:val="21"/>
          <w:highlight w:val="none"/>
        </w:rPr>
        <w:t>被保险人、受让人未履行本条规定的通知义务的，因转让导致保险标的危险程度显著增加而发生的保险事故，保险人不承担赔偿责任。</w:t>
      </w:r>
    </w:p>
    <w:p>
      <w:pPr>
        <w:spacing w:line="360" w:lineRule="auto"/>
        <w:rPr>
          <w:color w:val="auto"/>
          <w:szCs w:val="21"/>
          <w:highlight w:val="none"/>
        </w:rPr>
      </w:pPr>
      <w:r>
        <w:rPr>
          <w:rFonts w:hint="eastAsia"/>
          <w:color w:val="auto"/>
          <w:szCs w:val="21"/>
          <w:highlight w:val="none"/>
        </w:rPr>
        <w:t>第二十五条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spacing w:line="360" w:lineRule="auto"/>
        <w:rPr>
          <w:color w:val="auto"/>
          <w:szCs w:val="21"/>
          <w:highlight w:val="none"/>
        </w:rPr>
      </w:pPr>
      <w:r>
        <w:rPr>
          <w:rFonts w:hint="eastAsia"/>
          <w:color w:val="auto"/>
          <w:szCs w:val="21"/>
          <w:highlight w:val="none"/>
        </w:rPr>
        <w:t>被保险人未履行前款约定的通知义务的，因保险标的的危险程度显著增加而发生的保险事故，保险人不承担赔偿责任。</w:t>
      </w:r>
    </w:p>
    <w:p>
      <w:pPr>
        <w:spacing w:line="360" w:lineRule="auto"/>
        <w:rPr>
          <w:color w:val="auto"/>
          <w:szCs w:val="21"/>
          <w:highlight w:val="none"/>
        </w:rPr>
      </w:pPr>
      <w:r>
        <w:rPr>
          <w:rFonts w:hint="eastAsia"/>
          <w:color w:val="auto"/>
          <w:szCs w:val="21"/>
          <w:highlight w:val="none"/>
        </w:rPr>
        <w:t>第二十六条  知道保险事故发生后，被保险人应该：</w:t>
      </w:r>
    </w:p>
    <w:p>
      <w:pPr>
        <w:spacing w:line="360" w:lineRule="auto"/>
        <w:rPr>
          <w:color w:val="auto"/>
          <w:szCs w:val="21"/>
          <w:highlight w:val="none"/>
        </w:rPr>
      </w:pPr>
      <w:r>
        <w:rPr>
          <w:rFonts w:hint="eastAsia"/>
          <w:color w:val="auto"/>
          <w:szCs w:val="21"/>
          <w:highlight w:val="none"/>
        </w:rPr>
        <w:t>（一）尽力采取必要、合理的措施，防止或减少损失，否则，对因此扩大的损失，保险人不承担赔偿责任；</w:t>
      </w:r>
    </w:p>
    <w:p>
      <w:pPr>
        <w:spacing w:line="360" w:lineRule="auto"/>
        <w:rPr>
          <w:color w:val="auto"/>
          <w:szCs w:val="21"/>
          <w:highlight w:val="none"/>
        </w:rPr>
      </w:pPr>
      <w:r>
        <w:rPr>
          <w:rFonts w:hint="eastAsia"/>
          <w:color w:val="auto"/>
          <w:szCs w:val="21"/>
          <w:highlight w:val="none"/>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spacing w:line="360" w:lineRule="auto"/>
        <w:rPr>
          <w:color w:val="auto"/>
          <w:szCs w:val="21"/>
          <w:highlight w:val="none"/>
        </w:rPr>
      </w:pPr>
      <w:r>
        <w:rPr>
          <w:rFonts w:hint="eastAsia"/>
          <w:color w:val="auto"/>
          <w:szCs w:val="21"/>
          <w:highlight w:val="none"/>
        </w:rPr>
        <w:t>（三）保护事故现场，允许并且协助保险人进行事故调查；对于拒绝或者妨碍保险人进行事故调查导致无法确定事故原因或核实损失情况的，保险人对无法核实的部分不承担赔偿责任。</w:t>
      </w:r>
    </w:p>
    <w:p>
      <w:pPr>
        <w:spacing w:line="360" w:lineRule="auto"/>
        <w:rPr>
          <w:color w:val="auto"/>
          <w:szCs w:val="21"/>
          <w:highlight w:val="none"/>
        </w:rPr>
      </w:pPr>
      <w:r>
        <w:rPr>
          <w:rFonts w:hint="eastAsia"/>
          <w:color w:val="auto"/>
          <w:szCs w:val="21"/>
          <w:highlight w:val="none"/>
        </w:rPr>
        <w:t>第二十七条  被保险人请求赔偿时，应向保险人提供下列证明和资料：</w:t>
      </w:r>
    </w:p>
    <w:p>
      <w:pPr>
        <w:spacing w:line="360" w:lineRule="auto"/>
        <w:rPr>
          <w:color w:val="auto"/>
          <w:szCs w:val="21"/>
          <w:highlight w:val="none"/>
        </w:rPr>
      </w:pPr>
      <w:r>
        <w:rPr>
          <w:rFonts w:hint="eastAsia"/>
          <w:color w:val="auto"/>
          <w:szCs w:val="21"/>
          <w:highlight w:val="none"/>
        </w:rPr>
        <w:t>（一）保险单正本、索赔申请、财产损失清单、技术鉴定证明、事故报告书、救护费用发票、必要的账簿、单据和有关部门的证明；</w:t>
      </w:r>
    </w:p>
    <w:p>
      <w:pPr>
        <w:spacing w:line="360" w:lineRule="auto"/>
        <w:rPr>
          <w:color w:val="auto"/>
          <w:szCs w:val="21"/>
          <w:highlight w:val="none"/>
        </w:rPr>
      </w:pPr>
      <w:r>
        <w:rPr>
          <w:rFonts w:hint="eastAsia"/>
          <w:color w:val="auto"/>
          <w:szCs w:val="21"/>
          <w:highlight w:val="none"/>
        </w:rPr>
        <w:t>（二）投保人、被保险人所能提供的与确认保险事故的性质、原因、损失程度等有关的其他证明和资料。</w:t>
      </w:r>
    </w:p>
    <w:p>
      <w:pPr>
        <w:spacing w:line="360" w:lineRule="auto"/>
        <w:rPr>
          <w:color w:val="auto"/>
          <w:szCs w:val="21"/>
          <w:highlight w:val="none"/>
        </w:rPr>
      </w:pPr>
      <w:r>
        <w:rPr>
          <w:rFonts w:hint="eastAsia"/>
          <w:color w:val="auto"/>
          <w:szCs w:val="21"/>
          <w:highlight w:val="none"/>
        </w:rPr>
        <w:t>投保人、被保险人未履行前款约定的单证提供义务，导致保险人无法核实损失情况的，保险人对无法核实的部分不承担赔偿责任。</w:t>
      </w:r>
    </w:p>
    <w:p>
      <w:pPr>
        <w:pStyle w:val="12"/>
        <w:jc w:val="center"/>
        <w:rPr>
          <w:b/>
          <w:color w:val="auto"/>
          <w:highlight w:val="none"/>
        </w:rPr>
      </w:pPr>
      <w:r>
        <w:rPr>
          <w:rFonts w:hint="eastAsia"/>
          <w:b/>
          <w:color w:val="auto"/>
          <w:highlight w:val="none"/>
        </w:rPr>
        <w:t>赔偿处理</w:t>
      </w:r>
    </w:p>
    <w:p>
      <w:pPr>
        <w:spacing w:line="360" w:lineRule="auto"/>
        <w:rPr>
          <w:color w:val="auto"/>
          <w:szCs w:val="21"/>
          <w:highlight w:val="none"/>
        </w:rPr>
      </w:pPr>
      <w:r>
        <w:rPr>
          <w:rFonts w:hint="eastAsia"/>
          <w:color w:val="auto"/>
          <w:szCs w:val="21"/>
          <w:highlight w:val="none"/>
        </w:rPr>
        <w:t>第二十八条保险事故发生时，被保险人对保险标的不具有保险利益的，不得向保险人请求赔偿保险金。</w:t>
      </w:r>
    </w:p>
    <w:p>
      <w:pPr>
        <w:spacing w:line="360" w:lineRule="auto"/>
        <w:rPr>
          <w:color w:val="auto"/>
          <w:szCs w:val="21"/>
          <w:highlight w:val="none"/>
        </w:rPr>
      </w:pPr>
      <w:r>
        <w:rPr>
          <w:rFonts w:hint="eastAsia"/>
          <w:color w:val="auto"/>
          <w:szCs w:val="21"/>
          <w:highlight w:val="none"/>
        </w:rPr>
        <w:t>第二十九条  保险标的发生保险责任范围内的损失，保险人有权选择下列方式赔偿：</w:t>
      </w:r>
    </w:p>
    <w:p>
      <w:pPr>
        <w:spacing w:line="360" w:lineRule="auto"/>
        <w:rPr>
          <w:color w:val="auto"/>
          <w:szCs w:val="21"/>
          <w:highlight w:val="none"/>
        </w:rPr>
      </w:pPr>
      <w:r>
        <w:rPr>
          <w:rFonts w:hint="eastAsia"/>
          <w:color w:val="auto"/>
          <w:szCs w:val="21"/>
          <w:highlight w:val="none"/>
        </w:rPr>
        <w:t>（一）货币赔偿：保险人以支付保险金的方式赔偿；</w:t>
      </w:r>
    </w:p>
    <w:p>
      <w:pPr>
        <w:spacing w:line="360" w:lineRule="auto"/>
        <w:rPr>
          <w:color w:val="auto"/>
          <w:szCs w:val="21"/>
          <w:highlight w:val="none"/>
        </w:rPr>
      </w:pPr>
      <w:r>
        <w:rPr>
          <w:rFonts w:hint="eastAsia"/>
          <w:color w:val="auto"/>
          <w:szCs w:val="21"/>
          <w:highlight w:val="none"/>
        </w:rPr>
        <w:t>（二）实物赔偿：保险人以实物替换受损标的，该实物应具有保险标的出险前同等的类型、结构、状态和性能；</w:t>
      </w:r>
    </w:p>
    <w:p>
      <w:pPr>
        <w:spacing w:line="360" w:lineRule="auto"/>
        <w:rPr>
          <w:color w:val="auto"/>
          <w:szCs w:val="21"/>
          <w:highlight w:val="none"/>
        </w:rPr>
      </w:pPr>
      <w:r>
        <w:rPr>
          <w:rFonts w:hint="eastAsia"/>
          <w:color w:val="auto"/>
          <w:szCs w:val="21"/>
          <w:highlight w:val="none"/>
        </w:rPr>
        <w:t>（三）实际修复：保险人自行或委托他人修理修复受损标的。</w:t>
      </w:r>
    </w:p>
    <w:p>
      <w:pPr>
        <w:spacing w:line="360" w:lineRule="auto"/>
        <w:rPr>
          <w:color w:val="auto"/>
          <w:szCs w:val="21"/>
          <w:highlight w:val="none"/>
        </w:rPr>
      </w:pPr>
      <w:r>
        <w:rPr>
          <w:rFonts w:hint="eastAsia"/>
          <w:color w:val="auto"/>
          <w:szCs w:val="21"/>
          <w:highlight w:val="none"/>
        </w:rPr>
        <w:t>对保险标的在修复或替换过程中，被保险人进行的任何变更、性能增加或改进所产生的额外费用，保险人不负责赔偿。</w:t>
      </w:r>
    </w:p>
    <w:p>
      <w:pPr>
        <w:spacing w:line="360" w:lineRule="auto"/>
        <w:rPr>
          <w:rFonts w:hint="eastAsia"/>
          <w:color w:val="auto"/>
          <w:szCs w:val="21"/>
          <w:highlight w:val="none"/>
        </w:rPr>
      </w:pPr>
      <w:r>
        <w:rPr>
          <w:rFonts w:hint="eastAsia"/>
          <w:color w:val="auto"/>
          <w:szCs w:val="21"/>
          <w:highlight w:val="none"/>
        </w:rPr>
        <w:t>第三十条  保险标的遭受损失后，如果有残余价值，应由双方协商处理。如折归被保险人，由双方协商确定其价值，并在保险赔款中扣除。</w:t>
      </w:r>
    </w:p>
    <w:p>
      <w:pPr>
        <w:spacing w:line="360" w:lineRule="auto"/>
        <w:rPr>
          <w:color w:val="auto"/>
          <w:szCs w:val="21"/>
          <w:highlight w:val="none"/>
        </w:rPr>
      </w:pPr>
      <w:r>
        <w:rPr>
          <w:rFonts w:hint="eastAsia"/>
          <w:color w:val="auto"/>
          <w:szCs w:val="21"/>
          <w:highlight w:val="none"/>
        </w:rPr>
        <w:t>第三十一条  保险标的发生保险责任范围内的损失，保险人按以下方式计算赔偿：</w:t>
      </w:r>
    </w:p>
    <w:p>
      <w:pPr>
        <w:spacing w:line="360" w:lineRule="auto"/>
        <w:rPr>
          <w:rFonts w:hint="eastAsia"/>
          <w:color w:val="auto"/>
          <w:szCs w:val="21"/>
          <w:highlight w:val="none"/>
        </w:rPr>
      </w:pPr>
      <w:r>
        <w:rPr>
          <w:rFonts w:hint="eastAsia"/>
          <w:color w:val="auto"/>
          <w:szCs w:val="21"/>
          <w:highlight w:val="none"/>
        </w:rPr>
        <w:t>（一）保险金额等于或高于保险价值时，按实际损失计算赔偿，最高不超过保险价值；</w:t>
      </w:r>
    </w:p>
    <w:p>
      <w:pPr>
        <w:spacing w:line="360" w:lineRule="auto"/>
        <w:rPr>
          <w:rFonts w:hint="eastAsia"/>
          <w:color w:val="auto"/>
          <w:szCs w:val="21"/>
          <w:highlight w:val="none"/>
        </w:rPr>
      </w:pPr>
      <w:r>
        <w:rPr>
          <w:rFonts w:hint="eastAsia"/>
          <w:color w:val="auto"/>
          <w:szCs w:val="21"/>
          <w:highlight w:val="none"/>
        </w:rPr>
        <w:t>（二）保险金额低于保险价值时，按保险金额与保险价值的比例乘以实际损失计算赔偿，最高不超过保险金额；</w:t>
      </w:r>
    </w:p>
    <w:p>
      <w:pPr>
        <w:spacing w:line="360" w:lineRule="auto"/>
        <w:rPr>
          <w:rFonts w:hint="eastAsia"/>
          <w:color w:val="auto"/>
          <w:szCs w:val="21"/>
          <w:highlight w:val="none"/>
        </w:rPr>
      </w:pPr>
      <w:r>
        <w:rPr>
          <w:rFonts w:hint="eastAsia"/>
          <w:color w:val="auto"/>
          <w:szCs w:val="21"/>
          <w:highlight w:val="none"/>
        </w:rPr>
        <w:t>（三）若本保险合同所列标的不止一项时，应分项按照本条约定处理。</w:t>
      </w:r>
    </w:p>
    <w:p>
      <w:pPr>
        <w:spacing w:line="360" w:lineRule="auto"/>
        <w:rPr>
          <w:rFonts w:hint="eastAsia"/>
          <w:color w:val="auto"/>
          <w:szCs w:val="21"/>
          <w:highlight w:val="none"/>
        </w:rPr>
      </w:pPr>
      <w:r>
        <w:rPr>
          <w:rFonts w:hint="eastAsia"/>
          <w:color w:val="auto"/>
          <w:szCs w:val="21"/>
          <w:highlight w:val="none"/>
        </w:rPr>
        <w:t>第三十二条  保险标的的保险金额大于或等于其保险价值时，被保险人为防止或减少保险标的的损失所支付的必要的、合理的费用，在保险标的损失赔偿金额之外另行计算，最高不超过被施救保险标的的保险价值。</w:t>
      </w:r>
    </w:p>
    <w:p>
      <w:pPr>
        <w:spacing w:line="360" w:lineRule="auto"/>
        <w:rPr>
          <w:rFonts w:hint="eastAsia"/>
          <w:color w:val="auto"/>
          <w:szCs w:val="21"/>
          <w:highlight w:val="none"/>
        </w:rPr>
      </w:pPr>
      <w:r>
        <w:rPr>
          <w:rFonts w:hint="eastAsia"/>
          <w:color w:val="auto"/>
          <w:szCs w:val="21"/>
          <w:highlight w:val="none"/>
        </w:rPr>
        <w:t>保险标的的保险金额小于其保险价值时，上述费用按被施救保险标的的保险金额与其保险价值的比例在保险标的损失赔偿金额之外另行计算，最高不超过被施救保险标的的保险金额。</w:t>
      </w:r>
    </w:p>
    <w:p>
      <w:pPr>
        <w:spacing w:line="360" w:lineRule="auto"/>
        <w:rPr>
          <w:rFonts w:hint="eastAsia"/>
          <w:color w:val="auto"/>
          <w:szCs w:val="21"/>
          <w:highlight w:val="none"/>
        </w:rPr>
      </w:pPr>
      <w:r>
        <w:rPr>
          <w:rFonts w:hint="eastAsia"/>
          <w:color w:val="auto"/>
          <w:szCs w:val="21"/>
          <w:highlight w:val="none"/>
        </w:rPr>
        <w:t>被施救的财产中，含有本保险合同未承保财产的，按被施救保险标的的保险价值与全部被施救财产价值的比例分摊施救费用。</w:t>
      </w:r>
    </w:p>
    <w:p>
      <w:pPr>
        <w:spacing w:line="360" w:lineRule="auto"/>
        <w:rPr>
          <w:rFonts w:hint="eastAsia"/>
          <w:color w:val="auto"/>
          <w:szCs w:val="21"/>
          <w:highlight w:val="none"/>
        </w:rPr>
      </w:pPr>
      <w:r>
        <w:rPr>
          <w:rFonts w:hint="eastAsia"/>
          <w:color w:val="auto"/>
          <w:szCs w:val="21"/>
          <w:highlight w:val="none"/>
        </w:rPr>
        <w:t>第三十三条  每次事故保险人的赔偿金额为根据第三十一条、第三十二条约定计算的金额扣除每次事故免赔额后的金额，或者为根据第三十一条、第三十二条约定计算的金额扣除该金额与免赔率乘积后的金额。</w:t>
      </w:r>
    </w:p>
    <w:p>
      <w:pPr>
        <w:spacing w:line="360" w:lineRule="auto"/>
        <w:rPr>
          <w:color w:val="auto"/>
          <w:szCs w:val="21"/>
          <w:highlight w:val="none"/>
        </w:rPr>
      </w:pPr>
      <w:r>
        <w:rPr>
          <w:rFonts w:hint="eastAsia"/>
          <w:color w:val="auto"/>
          <w:szCs w:val="21"/>
          <w:highlight w:val="none"/>
        </w:rPr>
        <w:t>第三十四条  保险事故发生时，如果存在重复保险，保险人按照本保险合同的相应保险金额与其他保险合同及本保险合同相应保险金额总和的比例承担赔偿责任。</w:t>
      </w:r>
    </w:p>
    <w:p>
      <w:pPr>
        <w:spacing w:line="360" w:lineRule="auto"/>
        <w:rPr>
          <w:color w:val="auto"/>
          <w:szCs w:val="21"/>
          <w:highlight w:val="none"/>
        </w:rPr>
      </w:pPr>
      <w:r>
        <w:rPr>
          <w:rFonts w:hint="eastAsia"/>
          <w:color w:val="auto"/>
          <w:szCs w:val="21"/>
          <w:highlight w:val="none"/>
        </w:rPr>
        <w:t>其他保险人应承担的赔偿金额，本保险人不负责垫付。若被保险人未如实告知导致保险人多支付赔偿金的，保险人有权向被保险人追回多支付的部分。</w:t>
      </w:r>
    </w:p>
    <w:p>
      <w:pPr>
        <w:spacing w:line="360" w:lineRule="auto"/>
        <w:rPr>
          <w:color w:val="auto"/>
          <w:szCs w:val="21"/>
          <w:highlight w:val="none"/>
        </w:rPr>
      </w:pPr>
      <w:r>
        <w:rPr>
          <w:rFonts w:hint="eastAsia"/>
          <w:color w:val="auto"/>
          <w:szCs w:val="21"/>
          <w:highlight w:val="none"/>
        </w:rPr>
        <w:t>第三十五条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pacing w:line="360" w:lineRule="auto"/>
        <w:rPr>
          <w:color w:val="auto"/>
          <w:szCs w:val="21"/>
          <w:highlight w:val="none"/>
        </w:rPr>
      </w:pPr>
      <w:r>
        <w:rPr>
          <w:rFonts w:hint="eastAsia"/>
          <w:color w:val="auto"/>
          <w:szCs w:val="21"/>
          <w:highlight w:val="none"/>
        </w:rPr>
        <w:t>第三十六条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line="360" w:lineRule="auto"/>
        <w:rPr>
          <w:color w:val="auto"/>
          <w:szCs w:val="21"/>
          <w:highlight w:val="none"/>
        </w:rPr>
      </w:pPr>
      <w:r>
        <w:rPr>
          <w:rFonts w:hint="eastAsia"/>
          <w:color w:val="auto"/>
          <w:szCs w:val="21"/>
          <w:highlight w:val="none"/>
        </w:rPr>
        <w:t>被保险人已经从有关责任方取得赔偿的，保险人赔偿保险金时，可以相应扣减被保险人已从有关责任方取得的赔偿金额。</w:t>
      </w:r>
    </w:p>
    <w:p>
      <w:pPr>
        <w:spacing w:line="360" w:lineRule="auto"/>
        <w:rPr>
          <w:color w:val="auto"/>
          <w:szCs w:val="21"/>
          <w:highlight w:val="none"/>
        </w:rPr>
      </w:pPr>
      <w:r>
        <w:rPr>
          <w:rFonts w:hint="eastAsia"/>
          <w:color w:val="auto"/>
          <w:szCs w:val="21"/>
          <w:highlight w:val="none"/>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spacing w:line="360" w:lineRule="auto"/>
        <w:rPr>
          <w:color w:val="auto"/>
          <w:szCs w:val="21"/>
          <w:highlight w:val="none"/>
        </w:rPr>
      </w:pPr>
      <w:r>
        <w:rPr>
          <w:rFonts w:hint="eastAsia"/>
          <w:color w:val="auto"/>
          <w:szCs w:val="21"/>
          <w:highlight w:val="none"/>
        </w:rPr>
        <w:t>第三十七条被保险人向保险人请求赔偿保险金的诉讼时效期间为二年，自其知道或者应当知道保险事故发生之日起计算。 </w:t>
      </w:r>
    </w:p>
    <w:p>
      <w:pPr>
        <w:pStyle w:val="12"/>
        <w:jc w:val="center"/>
        <w:rPr>
          <w:b/>
          <w:color w:val="auto"/>
          <w:highlight w:val="none"/>
        </w:rPr>
      </w:pPr>
      <w:r>
        <w:rPr>
          <w:rFonts w:hint="eastAsia"/>
          <w:b/>
          <w:color w:val="auto"/>
          <w:highlight w:val="none"/>
        </w:rPr>
        <w:t>争议处理和法律适用</w:t>
      </w:r>
    </w:p>
    <w:p>
      <w:pPr>
        <w:spacing w:line="360" w:lineRule="auto"/>
        <w:rPr>
          <w:color w:val="auto"/>
          <w:szCs w:val="21"/>
          <w:highlight w:val="none"/>
        </w:rPr>
      </w:pPr>
      <w:r>
        <w:rPr>
          <w:rFonts w:hint="eastAsia"/>
          <w:color w:val="auto"/>
          <w:szCs w:val="21"/>
          <w:highlight w:val="none"/>
        </w:rPr>
        <w:t>第三十八条  因履行本保险合同发生的争议，由当事人协商解决。协商不成的，提交保险单载明的仲裁机构仲裁；保险单未载明仲裁机构且争议发生后未达成仲裁协议的，依法向人民法院起诉。</w:t>
      </w:r>
    </w:p>
    <w:p>
      <w:pPr>
        <w:spacing w:line="360" w:lineRule="auto"/>
        <w:rPr>
          <w:color w:val="auto"/>
          <w:szCs w:val="21"/>
          <w:highlight w:val="none"/>
        </w:rPr>
      </w:pPr>
      <w:r>
        <w:rPr>
          <w:rFonts w:hint="eastAsia"/>
          <w:color w:val="auto"/>
          <w:szCs w:val="21"/>
          <w:highlight w:val="none"/>
        </w:rPr>
        <w:t>第三十九条  与本保险合同有关的以及履行本保险合同产生的一切争议，适用中华人民共和国法律（不包括港澳台地区法律）。</w:t>
      </w:r>
    </w:p>
    <w:p>
      <w:pPr>
        <w:spacing w:line="360" w:lineRule="auto"/>
        <w:rPr>
          <w:color w:val="auto"/>
          <w:szCs w:val="21"/>
          <w:highlight w:val="none"/>
        </w:rPr>
      </w:pPr>
      <w:r>
        <w:rPr>
          <w:rFonts w:hint="eastAsia"/>
          <w:color w:val="auto"/>
          <w:szCs w:val="21"/>
          <w:highlight w:val="none"/>
        </w:rPr>
        <w:t>其他事项</w:t>
      </w:r>
    </w:p>
    <w:p>
      <w:pPr>
        <w:spacing w:line="360" w:lineRule="auto"/>
        <w:rPr>
          <w:color w:val="auto"/>
          <w:szCs w:val="21"/>
          <w:highlight w:val="none"/>
        </w:rPr>
      </w:pPr>
      <w:r>
        <w:rPr>
          <w:rFonts w:hint="eastAsia"/>
          <w:color w:val="auto"/>
          <w:szCs w:val="21"/>
          <w:highlight w:val="none"/>
        </w:rPr>
        <w:t>第四十条保险标的发生部分损失的，自保险人赔偿之日起三十日内，投保人可以解除合同；除合同另有约定外，保险人也可以解除合同，但应当提前十五日通知投保人。</w:t>
      </w:r>
    </w:p>
    <w:p>
      <w:pPr>
        <w:spacing w:line="360" w:lineRule="auto"/>
        <w:rPr>
          <w:color w:val="auto"/>
          <w:szCs w:val="21"/>
          <w:highlight w:val="none"/>
        </w:rPr>
      </w:pPr>
      <w:r>
        <w:rPr>
          <w:rFonts w:hint="eastAsia"/>
          <w:color w:val="auto"/>
          <w:szCs w:val="21"/>
          <w:highlight w:val="none"/>
        </w:rPr>
        <w:t>保险合同依据前款规定解除的，保险人应当将保险标的未受损失部分的保险费，按照合同约定扣除自保险责任开始之日起至合同解除之日止应收的部分后，退还投保人。</w:t>
      </w:r>
    </w:p>
    <w:p>
      <w:pPr>
        <w:spacing w:line="360" w:lineRule="auto"/>
        <w:rPr>
          <w:color w:val="auto"/>
          <w:szCs w:val="21"/>
          <w:highlight w:val="none"/>
        </w:rPr>
      </w:pPr>
      <w:r>
        <w:rPr>
          <w:rFonts w:hint="eastAsia"/>
          <w:color w:val="auto"/>
          <w:szCs w:val="21"/>
          <w:highlight w:val="none"/>
        </w:rPr>
        <w:t>第四十一条保险责任开始前，投保人要求解除保险合同的，应当按本保险合同的约定向保险人支付退保手续费，保险人应当退还剩余部分保险费。</w:t>
      </w:r>
    </w:p>
    <w:p>
      <w:pPr>
        <w:spacing w:line="360" w:lineRule="auto"/>
        <w:rPr>
          <w:color w:val="auto"/>
          <w:szCs w:val="21"/>
          <w:highlight w:val="none"/>
        </w:rPr>
      </w:pPr>
      <w:r>
        <w:rPr>
          <w:rFonts w:hint="eastAsia"/>
          <w:color w:val="auto"/>
          <w:szCs w:val="21"/>
          <w:highlight w:val="none"/>
        </w:rPr>
        <w:t>保险责任开始后，投保人要求解除保险合同的，自通知保险人之日起，保险合同解除，保险人按短期费率计收保险责任开始之日起至合同解除之日止期间的保险费，并退还剩余部分保险费。</w:t>
      </w:r>
    </w:p>
    <w:p>
      <w:pPr>
        <w:spacing w:line="360" w:lineRule="auto"/>
        <w:rPr>
          <w:color w:val="auto"/>
          <w:szCs w:val="21"/>
          <w:highlight w:val="none"/>
        </w:rPr>
      </w:pPr>
      <w:r>
        <w:rPr>
          <w:rFonts w:hint="eastAsia"/>
          <w:color w:val="auto"/>
          <w:szCs w:val="21"/>
          <w:highlight w:val="none"/>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line="360" w:lineRule="auto"/>
        <w:rPr>
          <w:color w:val="auto"/>
          <w:szCs w:val="21"/>
          <w:highlight w:val="none"/>
        </w:rPr>
      </w:pPr>
      <w:r>
        <w:rPr>
          <w:rFonts w:hint="eastAsia"/>
          <w:color w:val="auto"/>
          <w:szCs w:val="21"/>
          <w:highlight w:val="none"/>
        </w:rPr>
        <w:t>第四十二条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pPr>
        <w:pStyle w:val="12"/>
        <w:jc w:val="center"/>
        <w:rPr>
          <w:b/>
          <w:color w:val="auto"/>
          <w:highlight w:val="none"/>
        </w:rPr>
      </w:pPr>
      <w:r>
        <w:rPr>
          <w:rFonts w:hint="eastAsia"/>
          <w:b/>
          <w:color w:val="auto"/>
          <w:highlight w:val="none"/>
        </w:rPr>
        <w:t>释义</w:t>
      </w:r>
    </w:p>
    <w:p>
      <w:pPr>
        <w:spacing w:line="360" w:lineRule="auto"/>
        <w:rPr>
          <w:color w:val="auto"/>
          <w:szCs w:val="21"/>
          <w:highlight w:val="none"/>
        </w:rPr>
      </w:pPr>
      <w:r>
        <w:rPr>
          <w:rFonts w:hint="eastAsia"/>
          <w:color w:val="auto"/>
          <w:szCs w:val="21"/>
          <w:highlight w:val="none"/>
        </w:rPr>
        <w:t>第四十三条  本保险合同涉及下列术语时，适用下列释义：</w:t>
      </w:r>
    </w:p>
    <w:p>
      <w:pPr>
        <w:spacing w:line="360" w:lineRule="auto"/>
        <w:rPr>
          <w:color w:val="auto"/>
          <w:szCs w:val="21"/>
          <w:highlight w:val="none"/>
        </w:rPr>
      </w:pPr>
      <w:r>
        <w:rPr>
          <w:rFonts w:hint="eastAsia"/>
          <w:color w:val="auto"/>
          <w:szCs w:val="21"/>
          <w:highlight w:val="none"/>
        </w:rPr>
        <w:t>（一）火灾</w:t>
      </w:r>
    </w:p>
    <w:p>
      <w:pPr>
        <w:spacing w:line="360" w:lineRule="auto"/>
        <w:rPr>
          <w:color w:val="auto"/>
          <w:szCs w:val="21"/>
          <w:highlight w:val="none"/>
        </w:rPr>
      </w:pPr>
      <w:r>
        <w:rPr>
          <w:rFonts w:hint="eastAsia"/>
          <w:color w:val="auto"/>
          <w:szCs w:val="21"/>
          <w:highlight w:val="none"/>
        </w:rPr>
        <w:t xml:space="preserve"> 在时间或空间上失去控制的燃烧所造成的灾害。构成本保险的火灾责任必须同时具备以下三个条件：</w:t>
      </w:r>
    </w:p>
    <w:p>
      <w:pPr>
        <w:spacing w:line="360" w:lineRule="auto"/>
        <w:rPr>
          <w:color w:val="auto"/>
          <w:szCs w:val="21"/>
          <w:highlight w:val="none"/>
        </w:rPr>
      </w:pPr>
      <w:r>
        <w:rPr>
          <w:rFonts w:hint="eastAsia"/>
          <w:color w:val="auto"/>
          <w:szCs w:val="21"/>
          <w:highlight w:val="none"/>
        </w:rPr>
        <w:t xml:space="preserve"> 1．有燃烧现象，即有热有光有火焰；</w:t>
      </w:r>
    </w:p>
    <w:p>
      <w:pPr>
        <w:spacing w:line="360" w:lineRule="auto"/>
        <w:rPr>
          <w:color w:val="auto"/>
          <w:szCs w:val="21"/>
          <w:highlight w:val="none"/>
        </w:rPr>
      </w:pPr>
      <w:r>
        <w:rPr>
          <w:rFonts w:hint="eastAsia"/>
          <w:color w:val="auto"/>
          <w:szCs w:val="21"/>
          <w:highlight w:val="none"/>
        </w:rPr>
        <w:t xml:space="preserve"> 2．偶然、意外发生的燃烧；</w:t>
      </w:r>
    </w:p>
    <w:p>
      <w:pPr>
        <w:spacing w:line="360" w:lineRule="auto"/>
        <w:rPr>
          <w:color w:val="auto"/>
          <w:szCs w:val="21"/>
          <w:highlight w:val="none"/>
        </w:rPr>
      </w:pPr>
      <w:r>
        <w:rPr>
          <w:rFonts w:hint="eastAsia"/>
          <w:color w:val="auto"/>
          <w:szCs w:val="21"/>
          <w:highlight w:val="none"/>
        </w:rPr>
        <w:t xml:space="preserve"> 3．燃烧失去控制并有蔓延扩大的趋势。</w:t>
      </w:r>
    </w:p>
    <w:p>
      <w:pPr>
        <w:spacing w:line="360" w:lineRule="auto"/>
        <w:rPr>
          <w:color w:val="auto"/>
          <w:szCs w:val="21"/>
          <w:highlight w:val="none"/>
        </w:rPr>
      </w:pPr>
      <w:r>
        <w:rPr>
          <w:rFonts w:hint="eastAsia"/>
          <w:color w:val="auto"/>
          <w:szCs w:val="21"/>
          <w:highlight w:val="none"/>
        </w:rPr>
        <w:t xml:space="preserve"> 因此，仅有燃烧现象并不等于构成本保险中的火灾责任。在生产、生活中有目的用火，如为了防疫而焚毁玷污的衣物，点火烧荒等属正常燃烧，不同于火灾责任。</w:t>
      </w:r>
    </w:p>
    <w:p>
      <w:pPr>
        <w:spacing w:line="360" w:lineRule="auto"/>
        <w:rPr>
          <w:color w:val="auto"/>
          <w:szCs w:val="21"/>
          <w:highlight w:val="none"/>
        </w:rPr>
      </w:pPr>
      <w:r>
        <w:rPr>
          <w:rFonts w:hint="eastAsia"/>
          <w:color w:val="auto"/>
          <w:szCs w:val="21"/>
          <w:highlight w:val="none"/>
        </w:rPr>
        <w:t xml:space="preserve"> 因烘、烤、烫、烙造成焦糊变质等损失，既无燃烧现象，又无蔓延扩大趋势，也不属于火灾责任。</w:t>
      </w:r>
    </w:p>
    <w:p>
      <w:pPr>
        <w:spacing w:line="360" w:lineRule="auto"/>
        <w:rPr>
          <w:color w:val="auto"/>
          <w:szCs w:val="21"/>
          <w:highlight w:val="none"/>
        </w:rPr>
      </w:pPr>
      <w:r>
        <w:rPr>
          <w:rFonts w:hint="eastAsia"/>
          <w:color w:val="auto"/>
          <w:szCs w:val="21"/>
          <w:highlight w:val="none"/>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pPr>
        <w:spacing w:line="360" w:lineRule="auto"/>
        <w:rPr>
          <w:color w:val="auto"/>
          <w:szCs w:val="21"/>
          <w:highlight w:val="none"/>
        </w:rPr>
      </w:pPr>
      <w:r>
        <w:rPr>
          <w:rFonts w:hint="eastAsia"/>
          <w:color w:val="auto"/>
          <w:szCs w:val="21"/>
          <w:highlight w:val="none"/>
        </w:rPr>
        <w:t xml:space="preserve"> （二）爆炸</w:t>
      </w:r>
    </w:p>
    <w:p>
      <w:pPr>
        <w:spacing w:line="360" w:lineRule="auto"/>
        <w:rPr>
          <w:color w:val="auto"/>
          <w:szCs w:val="21"/>
          <w:highlight w:val="none"/>
        </w:rPr>
      </w:pPr>
      <w:r>
        <w:rPr>
          <w:rFonts w:hint="eastAsia"/>
          <w:color w:val="auto"/>
          <w:szCs w:val="21"/>
          <w:highlight w:val="none"/>
        </w:rPr>
        <w:t>爆炸分物理性爆炸和化学性爆炸。</w:t>
      </w:r>
    </w:p>
    <w:p>
      <w:pPr>
        <w:spacing w:line="360" w:lineRule="auto"/>
        <w:rPr>
          <w:color w:val="auto"/>
          <w:szCs w:val="21"/>
          <w:highlight w:val="none"/>
        </w:rPr>
      </w:pPr>
      <w:r>
        <w:rPr>
          <w:rFonts w:hint="eastAsia"/>
          <w:color w:val="auto"/>
          <w:szCs w:val="21"/>
          <w:highlight w:val="none"/>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spacing w:line="360" w:lineRule="auto"/>
        <w:rPr>
          <w:color w:val="auto"/>
          <w:szCs w:val="21"/>
          <w:highlight w:val="none"/>
        </w:rPr>
      </w:pPr>
      <w:r>
        <w:rPr>
          <w:rFonts w:hint="eastAsia"/>
          <w:color w:val="auto"/>
          <w:szCs w:val="21"/>
          <w:highlight w:val="none"/>
        </w:rPr>
        <w:t xml:space="preserve"> 2．化学性爆炸：物体在瞬息分解或燃烧时放出大量的热和气体，并以很大的压力向四周扩散的现象。如火药爆炸、可燃性粉尘纤维爆炸、可燃气体爆炸及各种化学物品的爆炸等。</w:t>
      </w:r>
    </w:p>
    <w:p>
      <w:pPr>
        <w:spacing w:line="360" w:lineRule="auto"/>
        <w:rPr>
          <w:color w:val="auto"/>
          <w:szCs w:val="21"/>
          <w:highlight w:val="none"/>
        </w:rPr>
      </w:pPr>
      <w:r>
        <w:rPr>
          <w:rFonts w:hint="eastAsia"/>
          <w:color w:val="auto"/>
          <w:szCs w:val="21"/>
          <w:highlight w:val="none"/>
        </w:rPr>
        <w:t>因物体本身的瑕疵，使用损耗或产品质量低劣以及由于容器内部承受“负压”（内压比外压小）造成的损失，不属于爆炸责任。</w:t>
      </w:r>
    </w:p>
    <w:p>
      <w:pPr>
        <w:spacing w:line="360" w:lineRule="auto"/>
        <w:rPr>
          <w:color w:val="auto"/>
          <w:szCs w:val="21"/>
          <w:highlight w:val="none"/>
        </w:rPr>
      </w:pPr>
      <w:r>
        <w:rPr>
          <w:rFonts w:hint="eastAsia"/>
          <w:color w:val="auto"/>
          <w:szCs w:val="21"/>
          <w:highlight w:val="none"/>
        </w:rPr>
        <w:t>（三）雷击</w:t>
      </w:r>
    </w:p>
    <w:p>
      <w:pPr>
        <w:spacing w:line="360" w:lineRule="auto"/>
        <w:rPr>
          <w:color w:val="auto"/>
          <w:szCs w:val="21"/>
          <w:highlight w:val="none"/>
        </w:rPr>
      </w:pPr>
      <w:r>
        <w:rPr>
          <w:rFonts w:hint="eastAsia"/>
          <w:color w:val="auto"/>
          <w:szCs w:val="21"/>
          <w:highlight w:val="none"/>
        </w:rPr>
        <w:t>雷击指由雷电造成的灾害。雷电为积雨云中、云间或云地之间产生的放电现象。雷击的破坏形式分直接雷击与感应雷击两种。</w:t>
      </w:r>
    </w:p>
    <w:p>
      <w:pPr>
        <w:spacing w:line="360" w:lineRule="auto"/>
        <w:rPr>
          <w:color w:val="auto"/>
          <w:szCs w:val="21"/>
          <w:highlight w:val="none"/>
        </w:rPr>
      </w:pPr>
      <w:r>
        <w:rPr>
          <w:rFonts w:hint="eastAsia"/>
          <w:color w:val="auto"/>
          <w:szCs w:val="21"/>
          <w:highlight w:val="none"/>
        </w:rPr>
        <w:t>1．直接雷击：由于雷电直接击中保险标的造成损失，属直接雷击责任。</w:t>
      </w:r>
    </w:p>
    <w:p>
      <w:pPr>
        <w:spacing w:line="360" w:lineRule="auto"/>
        <w:rPr>
          <w:color w:val="auto"/>
          <w:szCs w:val="21"/>
          <w:highlight w:val="none"/>
        </w:rPr>
      </w:pPr>
      <w:r>
        <w:rPr>
          <w:rFonts w:hint="eastAsia"/>
          <w:color w:val="auto"/>
          <w:szCs w:val="21"/>
          <w:highlight w:val="none"/>
        </w:rPr>
        <w:t xml:space="preserve">2．感应雷击：由于雷击产生的静电感应或电磁感应使屋内对地绝缘金属物体产生高电位放出火花引起的火灾，导致电器本身的损毁，或因雷电的高电压感应，致使电器部件的损毁，属感应雷击责任。    </w:t>
      </w:r>
    </w:p>
    <w:p>
      <w:pPr>
        <w:spacing w:line="360" w:lineRule="auto"/>
        <w:rPr>
          <w:color w:val="auto"/>
          <w:szCs w:val="21"/>
          <w:highlight w:val="none"/>
        </w:rPr>
      </w:pPr>
      <w:r>
        <w:rPr>
          <w:rFonts w:hint="eastAsia"/>
          <w:color w:val="auto"/>
          <w:szCs w:val="21"/>
          <w:highlight w:val="none"/>
        </w:rPr>
        <w:t>（四）暴雨：指每小时降雨量达16毫米以上，或连续12小时降雨量达30毫米以上，或连续24小时降雨量达50毫米以上的降雨。</w:t>
      </w:r>
    </w:p>
    <w:p>
      <w:pPr>
        <w:spacing w:line="360" w:lineRule="auto"/>
        <w:rPr>
          <w:color w:val="auto"/>
          <w:szCs w:val="21"/>
          <w:highlight w:val="none"/>
        </w:rPr>
      </w:pPr>
      <w:r>
        <w:rPr>
          <w:rFonts w:hint="eastAsia"/>
          <w:color w:val="auto"/>
          <w:szCs w:val="21"/>
          <w:highlight w:val="none"/>
        </w:rPr>
        <w:t>（五）洪水：指山洪暴发、江河泛滥、潮水上岸及倒灌。但规律性的涨潮、自动灭火设施漏水以及在常年水位以下或地下渗水、水管爆裂不属于洪水责任。</w:t>
      </w:r>
    </w:p>
    <w:p>
      <w:pPr>
        <w:spacing w:line="360" w:lineRule="auto"/>
        <w:rPr>
          <w:color w:val="auto"/>
          <w:szCs w:val="21"/>
          <w:highlight w:val="none"/>
        </w:rPr>
      </w:pPr>
      <w:r>
        <w:rPr>
          <w:rFonts w:hint="eastAsia"/>
          <w:color w:val="auto"/>
          <w:szCs w:val="21"/>
          <w:highlight w:val="none"/>
        </w:rPr>
        <w:t>（六）暴风：指风力达8级、风速在17.2米/秒以上的自然风。</w:t>
      </w:r>
    </w:p>
    <w:p>
      <w:pPr>
        <w:spacing w:line="360" w:lineRule="auto"/>
        <w:rPr>
          <w:color w:val="auto"/>
          <w:szCs w:val="21"/>
          <w:highlight w:val="none"/>
        </w:rPr>
      </w:pPr>
      <w:r>
        <w:rPr>
          <w:rFonts w:hint="eastAsia"/>
          <w:color w:val="auto"/>
          <w:szCs w:val="21"/>
          <w:highlight w:val="none"/>
        </w:rPr>
        <w:t>（七）龙卷风：指一种范围小而时间短的猛烈旋风，陆地上平均最大风速在79米/秒-103米/秒，极端最大风速在100米/秒以上。</w:t>
      </w:r>
    </w:p>
    <w:p>
      <w:pPr>
        <w:spacing w:line="360" w:lineRule="auto"/>
        <w:rPr>
          <w:color w:val="auto"/>
          <w:szCs w:val="21"/>
          <w:highlight w:val="none"/>
        </w:rPr>
      </w:pPr>
      <w:r>
        <w:rPr>
          <w:rFonts w:hint="eastAsia"/>
          <w:color w:val="auto"/>
          <w:szCs w:val="21"/>
          <w:highlight w:val="none"/>
        </w:rPr>
        <w:t>（八）冰雹：指从强烈对流的积雨云中降落到地面的冰块或冰球，直径大于5毫米，核心坚硬的固体降水。</w:t>
      </w:r>
    </w:p>
    <w:p>
      <w:pPr>
        <w:spacing w:line="360" w:lineRule="auto"/>
        <w:rPr>
          <w:color w:val="auto"/>
          <w:szCs w:val="21"/>
          <w:highlight w:val="none"/>
        </w:rPr>
      </w:pPr>
      <w:r>
        <w:rPr>
          <w:rFonts w:hint="eastAsia"/>
          <w:color w:val="auto"/>
          <w:szCs w:val="21"/>
          <w:highlight w:val="none"/>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line="360" w:lineRule="auto"/>
        <w:rPr>
          <w:color w:val="auto"/>
          <w:szCs w:val="21"/>
          <w:highlight w:val="none"/>
        </w:rPr>
      </w:pPr>
      <w:r>
        <w:rPr>
          <w:rFonts w:hint="eastAsia"/>
          <w:color w:val="auto"/>
          <w:szCs w:val="21"/>
          <w:highlight w:val="none"/>
        </w:rPr>
        <w:t>（十）沙尘暴：指强风将地面大量尘沙吹起，使空气很混浊，水平能见度小于1公里的天气现象。</w:t>
      </w:r>
    </w:p>
    <w:p>
      <w:pPr>
        <w:spacing w:line="360" w:lineRule="auto"/>
        <w:rPr>
          <w:color w:val="auto"/>
          <w:szCs w:val="21"/>
          <w:highlight w:val="none"/>
        </w:rPr>
      </w:pPr>
      <w:r>
        <w:rPr>
          <w:rFonts w:hint="eastAsia"/>
          <w:color w:val="auto"/>
          <w:szCs w:val="21"/>
          <w:highlight w:val="none"/>
        </w:rPr>
        <w:t>（十一）暴雪：指连续12小时的降雪量大于或等于10毫米的降雪现象。</w:t>
      </w:r>
    </w:p>
    <w:p>
      <w:pPr>
        <w:spacing w:line="360" w:lineRule="auto"/>
        <w:rPr>
          <w:color w:val="auto"/>
          <w:szCs w:val="21"/>
          <w:highlight w:val="none"/>
        </w:rPr>
      </w:pPr>
      <w:r>
        <w:rPr>
          <w:rFonts w:hint="eastAsia"/>
          <w:color w:val="auto"/>
          <w:szCs w:val="21"/>
          <w:highlight w:val="none"/>
        </w:rPr>
        <w:t>（十二）冰凌：指春季江河解冻期时冰块飘浮遇阻，堆积成坝，堵塞江道，造成水位急剧上升，以致江水溢出江道，漫延成灾。</w:t>
      </w:r>
    </w:p>
    <w:p>
      <w:pPr>
        <w:spacing w:line="360" w:lineRule="auto"/>
        <w:rPr>
          <w:color w:val="auto"/>
          <w:szCs w:val="21"/>
          <w:highlight w:val="none"/>
        </w:rPr>
      </w:pPr>
      <w:r>
        <w:rPr>
          <w:rFonts w:hint="eastAsia"/>
          <w:color w:val="auto"/>
          <w:szCs w:val="21"/>
          <w:highlight w:val="none"/>
        </w:rPr>
        <w:t>陆上有些地区，如山谷风口或酷寒致使雨雪在物体上结成冰块，成下垂形状，越结越厚，重量增加，由于下垂的拉力致使物体毁坏，也属冰凌责任。</w:t>
      </w:r>
    </w:p>
    <w:p>
      <w:pPr>
        <w:spacing w:line="360" w:lineRule="auto"/>
        <w:rPr>
          <w:color w:val="auto"/>
          <w:szCs w:val="21"/>
          <w:highlight w:val="none"/>
        </w:rPr>
      </w:pPr>
      <w:r>
        <w:rPr>
          <w:rFonts w:hint="eastAsia"/>
          <w:color w:val="auto"/>
          <w:szCs w:val="21"/>
          <w:highlight w:val="none"/>
        </w:rPr>
        <w:t>（十三）突发性滑坡：斜坡上不稳的岩土体或人为堆积物在重力作用下突然整体向下滑动的现象。</w:t>
      </w:r>
    </w:p>
    <w:p>
      <w:pPr>
        <w:spacing w:line="360" w:lineRule="auto"/>
        <w:rPr>
          <w:color w:val="auto"/>
          <w:szCs w:val="21"/>
          <w:highlight w:val="none"/>
        </w:rPr>
      </w:pPr>
      <w:r>
        <w:rPr>
          <w:rFonts w:hint="eastAsia"/>
          <w:color w:val="auto"/>
          <w:szCs w:val="21"/>
          <w:highlight w:val="none"/>
        </w:rPr>
        <w:t>（十四）崩塌：石崖、土崖、岩石受自然风化、雨蚀造成崩溃下塌，以及大量积雪在重力作用下从高处突然崩塌滚落。</w:t>
      </w:r>
    </w:p>
    <w:p>
      <w:pPr>
        <w:spacing w:line="360" w:lineRule="auto"/>
        <w:rPr>
          <w:color w:val="auto"/>
          <w:szCs w:val="21"/>
          <w:highlight w:val="none"/>
        </w:rPr>
      </w:pPr>
      <w:r>
        <w:rPr>
          <w:rFonts w:hint="eastAsia"/>
          <w:color w:val="auto"/>
          <w:szCs w:val="21"/>
          <w:highlight w:val="none"/>
        </w:rPr>
        <w:t>（十五）泥石流：由于雨水、冰雪融化等水源激发的、含有大量泥沙石块的特殊洪流。</w:t>
      </w:r>
    </w:p>
    <w:p>
      <w:pPr>
        <w:spacing w:line="360" w:lineRule="auto"/>
        <w:rPr>
          <w:color w:val="auto"/>
          <w:szCs w:val="21"/>
          <w:highlight w:val="none"/>
        </w:rPr>
      </w:pPr>
      <w:r>
        <w:rPr>
          <w:rFonts w:hint="eastAsia"/>
          <w:color w:val="auto"/>
          <w:szCs w:val="21"/>
          <w:highlight w:val="none"/>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line="360" w:lineRule="auto"/>
        <w:rPr>
          <w:color w:val="auto"/>
          <w:szCs w:val="21"/>
          <w:highlight w:val="none"/>
        </w:rPr>
      </w:pPr>
      <w:r>
        <w:rPr>
          <w:rFonts w:hint="eastAsia"/>
          <w:color w:val="auto"/>
          <w:szCs w:val="21"/>
          <w:highlight w:val="none"/>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spacing w:line="360" w:lineRule="auto"/>
        <w:rPr>
          <w:color w:val="auto"/>
          <w:szCs w:val="21"/>
          <w:highlight w:val="none"/>
        </w:rPr>
      </w:pPr>
      <w:r>
        <w:rPr>
          <w:rFonts w:hint="eastAsia"/>
          <w:color w:val="auto"/>
          <w:szCs w:val="21"/>
          <w:highlight w:val="none"/>
        </w:rPr>
        <w:t>（十八）自然灾害：指雷击、暴雨、洪水、暴风、龙卷风、冰雹、台风、飓风、沙尘暴、暴雪、冰凌、突发性滑坡、崩塌、泥石流、地面突然下陷下沉及其他人力不可抗拒的破坏力强大的自然现象。</w:t>
      </w:r>
    </w:p>
    <w:p>
      <w:pPr>
        <w:spacing w:line="360" w:lineRule="auto"/>
        <w:rPr>
          <w:color w:val="auto"/>
          <w:szCs w:val="21"/>
          <w:highlight w:val="none"/>
        </w:rPr>
      </w:pPr>
      <w:r>
        <w:rPr>
          <w:rFonts w:hint="eastAsia"/>
          <w:color w:val="auto"/>
          <w:szCs w:val="21"/>
          <w:highlight w:val="none"/>
        </w:rPr>
        <w:t>（十九）意外事故：指不可预料的以及被保险人无法控制并造成物质损失的突发性事件，包括火灾和爆炸。</w:t>
      </w:r>
    </w:p>
    <w:p>
      <w:pPr>
        <w:spacing w:line="360" w:lineRule="auto"/>
        <w:rPr>
          <w:color w:val="auto"/>
          <w:szCs w:val="21"/>
          <w:highlight w:val="none"/>
        </w:rPr>
      </w:pPr>
      <w:r>
        <w:rPr>
          <w:rFonts w:hint="eastAsia"/>
          <w:color w:val="auto"/>
          <w:szCs w:val="21"/>
          <w:highlight w:val="none"/>
        </w:rPr>
        <w:t>（二十）重大过失行为：指行为人不但没有遵守法律规范对其较高要求，甚至连人们都应当注意并能注意的一般标准也未达到的行为。</w:t>
      </w:r>
    </w:p>
    <w:p>
      <w:pPr>
        <w:spacing w:line="360" w:lineRule="auto"/>
        <w:rPr>
          <w:color w:val="auto"/>
          <w:szCs w:val="21"/>
          <w:highlight w:val="none"/>
        </w:rPr>
      </w:pPr>
      <w:r>
        <w:rPr>
          <w:rFonts w:hint="eastAsia"/>
          <w:color w:val="auto"/>
          <w:szCs w:val="21"/>
          <w:highlight w:val="none"/>
        </w:rPr>
        <w:t>（二十一）恐怖活动：指任何人以某一组织的名义或参与某一组织使用武力或暴力对任何政府进行恐吓或施加影响而采取的行动。</w:t>
      </w:r>
    </w:p>
    <w:p>
      <w:pPr>
        <w:spacing w:line="360" w:lineRule="auto"/>
        <w:rPr>
          <w:color w:val="auto"/>
          <w:szCs w:val="21"/>
          <w:highlight w:val="none"/>
        </w:rPr>
      </w:pPr>
      <w:r>
        <w:rPr>
          <w:rFonts w:hint="eastAsia"/>
          <w:color w:val="auto"/>
          <w:szCs w:val="21"/>
          <w:highlight w:val="none"/>
        </w:rPr>
        <w:t>（二十二）地震：地壳发生的震动。</w:t>
      </w:r>
    </w:p>
    <w:p>
      <w:pPr>
        <w:spacing w:line="360" w:lineRule="auto"/>
        <w:rPr>
          <w:color w:val="auto"/>
          <w:szCs w:val="21"/>
          <w:highlight w:val="none"/>
        </w:rPr>
      </w:pPr>
      <w:r>
        <w:rPr>
          <w:rFonts w:hint="eastAsia"/>
          <w:color w:val="auto"/>
          <w:szCs w:val="21"/>
          <w:highlight w:val="none"/>
        </w:rPr>
        <w:t>（二十三）海啸：海啸是指由海底地震，火山爆发或水下滑坡、塌陷所激发的海洋巨波。</w:t>
      </w:r>
    </w:p>
    <w:p>
      <w:pPr>
        <w:spacing w:line="360" w:lineRule="auto"/>
        <w:rPr>
          <w:color w:val="auto"/>
          <w:szCs w:val="21"/>
          <w:highlight w:val="none"/>
        </w:rPr>
      </w:pPr>
      <w:r>
        <w:rPr>
          <w:rFonts w:hint="eastAsia"/>
          <w:color w:val="auto"/>
          <w:szCs w:val="21"/>
          <w:highlight w:val="none"/>
        </w:rPr>
        <w:t>（二十四）行政行为或司法行为：指各级政府部门、执法机关或依法履行公共管理、社会管理职能的机构下令破坏、征用、罚没保险标的的行为。</w:t>
      </w:r>
    </w:p>
    <w:p>
      <w:pPr>
        <w:spacing w:line="360" w:lineRule="auto"/>
        <w:rPr>
          <w:color w:val="auto"/>
          <w:szCs w:val="21"/>
          <w:highlight w:val="none"/>
        </w:rPr>
      </w:pPr>
      <w:r>
        <w:rPr>
          <w:rFonts w:hint="eastAsia"/>
          <w:color w:val="auto"/>
          <w:szCs w:val="21"/>
          <w:highlight w:val="none"/>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spacing w:line="360" w:lineRule="auto"/>
        <w:rPr>
          <w:color w:val="auto"/>
          <w:szCs w:val="21"/>
          <w:highlight w:val="none"/>
        </w:rPr>
      </w:pPr>
      <w:r>
        <w:rPr>
          <w:rFonts w:hint="eastAsia"/>
          <w:color w:val="auto"/>
          <w:szCs w:val="21"/>
          <w:highlight w:val="none"/>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spacing w:line="360" w:lineRule="auto"/>
        <w:rPr>
          <w:color w:val="auto"/>
          <w:szCs w:val="21"/>
          <w:highlight w:val="none"/>
        </w:rPr>
      </w:pPr>
      <w:r>
        <w:rPr>
          <w:rFonts w:hint="eastAsia"/>
          <w:color w:val="auto"/>
          <w:szCs w:val="21"/>
          <w:highlight w:val="none"/>
        </w:rPr>
        <w:t>（二十七）重置价值：指替换、重建受损保险标的，以使其达到全新状态而发生的费用，但不包括被保险人进行的任何变更、性能增加或改进所产生的额外费用。</w:t>
      </w:r>
    </w:p>
    <w:p>
      <w:pPr>
        <w:spacing w:line="360" w:lineRule="auto"/>
        <w:rPr>
          <w:color w:val="auto"/>
          <w:szCs w:val="21"/>
          <w:highlight w:val="none"/>
        </w:rPr>
      </w:pPr>
      <w:r>
        <w:rPr>
          <w:rFonts w:hint="eastAsia"/>
          <w:color w:val="auto"/>
          <w:szCs w:val="21"/>
          <w:highlight w:val="none"/>
        </w:rPr>
        <w:t>（二十八）水箱、水管爆裂：包括冻裂和意外爆裂两种情况。水箱、水管爆裂一般是由水箱、水管本身瑕疵或使用耗损或严寒结冰造成的。</w:t>
      </w:r>
    </w:p>
    <w:p>
      <w:pPr>
        <w:pStyle w:val="12"/>
        <w:jc w:val="center"/>
        <w:rPr>
          <w:b/>
          <w:color w:val="auto"/>
          <w:highlight w:val="none"/>
        </w:rPr>
      </w:pPr>
      <w:r>
        <w:rPr>
          <w:rFonts w:hint="eastAsia"/>
          <w:b/>
          <w:color w:val="auto"/>
          <w:highlight w:val="none"/>
        </w:rPr>
        <w:t>附录</w:t>
      </w:r>
    </w:p>
    <w:p>
      <w:pPr>
        <w:spacing w:line="360" w:lineRule="auto"/>
        <w:jc w:val="center"/>
        <w:rPr>
          <w:color w:val="auto"/>
          <w:szCs w:val="21"/>
          <w:highlight w:val="none"/>
        </w:rPr>
      </w:pPr>
      <w:r>
        <w:rPr>
          <w:rFonts w:hint="eastAsia"/>
          <w:color w:val="auto"/>
          <w:szCs w:val="21"/>
          <w:highlight w:val="none"/>
        </w:rPr>
        <w:t>短期费率表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pPr>
              <w:spacing w:line="360" w:lineRule="auto"/>
              <w:rPr>
                <w:color w:val="auto"/>
                <w:szCs w:val="21"/>
                <w:highlight w:val="none"/>
              </w:rPr>
            </w:pPr>
            <w:r>
              <w:rPr>
                <w:rFonts w:hint="eastAsia"/>
                <w:color w:val="auto"/>
                <w:szCs w:val="21"/>
                <w:highlight w:val="none"/>
              </w:rPr>
              <w:t>保险</w:t>
            </w:r>
          </w:p>
          <w:p>
            <w:pPr>
              <w:spacing w:line="360" w:lineRule="auto"/>
              <w:rPr>
                <w:color w:val="auto"/>
                <w:szCs w:val="21"/>
                <w:highlight w:val="none"/>
              </w:rPr>
            </w:pPr>
            <w:r>
              <w:rPr>
                <w:rFonts w:hint="eastAsia"/>
                <w:color w:val="auto"/>
                <w:szCs w:val="21"/>
                <w:highlight w:val="none"/>
              </w:rPr>
              <w:t>期间</w:t>
            </w:r>
          </w:p>
        </w:tc>
        <w:tc>
          <w:tcPr>
            <w:tcW w:w="540" w:type="dxa"/>
            <w:noWrap w:val="0"/>
            <w:vAlign w:val="center"/>
          </w:tcPr>
          <w:p>
            <w:pPr>
              <w:spacing w:line="360" w:lineRule="auto"/>
              <w:rPr>
                <w:color w:val="auto"/>
                <w:szCs w:val="21"/>
                <w:highlight w:val="none"/>
              </w:rPr>
            </w:pPr>
            <w:r>
              <w:rPr>
                <w:rFonts w:hint="eastAsia"/>
                <w:color w:val="auto"/>
                <w:szCs w:val="21"/>
                <w:highlight w:val="none"/>
              </w:rPr>
              <w:t>一</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二</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三</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四</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五</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六</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七</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八</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九</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十</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37" w:type="dxa"/>
            <w:noWrap w:val="0"/>
            <w:vAlign w:val="center"/>
          </w:tcPr>
          <w:p>
            <w:pPr>
              <w:spacing w:line="360" w:lineRule="auto"/>
              <w:rPr>
                <w:color w:val="auto"/>
                <w:szCs w:val="21"/>
                <w:highlight w:val="none"/>
              </w:rPr>
            </w:pPr>
            <w:r>
              <w:rPr>
                <w:rFonts w:hint="eastAsia"/>
                <w:color w:val="auto"/>
                <w:szCs w:val="21"/>
                <w:highlight w:val="none"/>
              </w:rPr>
              <w:t>十</w:t>
            </w:r>
          </w:p>
          <w:p>
            <w:pPr>
              <w:spacing w:line="360" w:lineRule="auto"/>
              <w:rPr>
                <w:color w:val="auto"/>
                <w:szCs w:val="21"/>
                <w:highlight w:val="none"/>
              </w:rPr>
            </w:pPr>
            <w:r>
              <w:rPr>
                <w:rFonts w:hint="eastAsia"/>
                <w:color w:val="auto"/>
                <w:szCs w:val="21"/>
                <w:highlight w:val="none"/>
              </w:rPr>
              <w:t>一</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31" w:type="dxa"/>
            <w:noWrap w:val="0"/>
            <w:vAlign w:val="center"/>
          </w:tcPr>
          <w:p>
            <w:pPr>
              <w:spacing w:line="360" w:lineRule="auto"/>
              <w:rPr>
                <w:color w:val="auto"/>
                <w:szCs w:val="21"/>
                <w:highlight w:val="none"/>
              </w:rPr>
            </w:pPr>
            <w:r>
              <w:rPr>
                <w:rFonts w:hint="eastAsia"/>
                <w:color w:val="auto"/>
                <w:szCs w:val="21"/>
                <w:highlight w:val="none"/>
              </w:rPr>
              <w:t>十</w:t>
            </w:r>
          </w:p>
          <w:p>
            <w:pPr>
              <w:spacing w:line="360" w:lineRule="auto"/>
              <w:rPr>
                <w:color w:val="auto"/>
                <w:szCs w:val="21"/>
                <w:highlight w:val="none"/>
              </w:rPr>
            </w:pPr>
            <w:r>
              <w:rPr>
                <w:rFonts w:hint="eastAsia"/>
                <w:color w:val="auto"/>
                <w:szCs w:val="21"/>
                <w:highlight w:val="none"/>
              </w:rPr>
              <w:t>二</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pPr>
              <w:spacing w:line="360" w:lineRule="auto"/>
              <w:rPr>
                <w:color w:val="auto"/>
                <w:szCs w:val="21"/>
                <w:highlight w:val="none"/>
              </w:rPr>
            </w:pPr>
            <w:r>
              <w:rPr>
                <w:rFonts w:hint="eastAsia"/>
                <w:color w:val="auto"/>
                <w:szCs w:val="21"/>
                <w:highlight w:val="none"/>
              </w:rPr>
              <w:t>年费率的百分比</w:t>
            </w:r>
          </w:p>
        </w:tc>
        <w:tc>
          <w:tcPr>
            <w:tcW w:w="540" w:type="dxa"/>
            <w:noWrap w:val="0"/>
            <w:vAlign w:val="center"/>
          </w:tcPr>
          <w:p>
            <w:pPr>
              <w:spacing w:line="360" w:lineRule="auto"/>
              <w:rPr>
                <w:color w:val="auto"/>
                <w:szCs w:val="21"/>
                <w:highlight w:val="none"/>
              </w:rPr>
            </w:pPr>
            <w:r>
              <w:rPr>
                <w:rFonts w:hint="eastAsia"/>
                <w:color w:val="auto"/>
                <w:szCs w:val="21"/>
                <w:highlight w:val="none"/>
              </w:rPr>
              <w:t>10</w:t>
            </w:r>
          </w:p>
        </w:tc>
        <w:tc>
          <w:tcPr>
            <w:tcW w:w="540" w:type="dxa"/>
            <w:noWrap w:val="0"/>
            <w:vAlign w:val="center"/>
          </w:tcPr>
          <w:p>
            <w:pPr>
              <w:spacing w:line="360" w:lineRule="auto"/>
              <w:rPr>
                <w:color w:val="auto"/>
                <w:szCs w:val="21"/>
                <w:highlight w:val="none"/>
              </w:rPr>
            </w:pPr>
            <w:r>
              <w:rPr>
                <w:rFonts w:hint="eastAsia"/>
                <w:color w:val="auto"/>
                <w:szCs w:val="21"/>
                <w:highlight w:val="none"/>
              </w:rPr>
              <w:t>20</w:t>
            </w:r>
          </w:p>
        </w:tc>
        <w:tc>
          <w:tcPr>
            <w:tcW w:w="540" w:type="dxa"/>
            <w:noWrap w:val="0"/>
            <w:vAlign w:val="center"/>
          </w:tcPr>
          <w:p>
            <w:pPr>
              <w:spacing w:line="360" w:lineRule="auto"/>
              <w:rPr>
                <w:color w:val="auto"/>
                <w:szCs w:val="21"/>
                <w:highlight w:val="none"/>
              </w:rPr>
            </w:pPr>
            <w:r>
              <w:rPr>
                <w:rFonts w:hint="eastAsia"/>
                <w:color w:val="auto"/>
                <w:szCs w:val="21"/>
                <w:highlight w:val="none"/>
              </w:rPr>
              <w:t>30</w:t>
            </w:r>
          </w:p>
        </w:tc>
        <w:tc>
          <w:tcPr>
            <w:tcW w:w="540" w:type="dxa"/>
            <w:noWrap w:val="0"/>
            <w:vAlign w:val="center"/>
          </w:tcPr>
          <w:p>
            <w:pPr>
              <w:spacing w:line="360" w:lineRule="auto"/>
              <w:rPr>
                <w:color w:val="auto"/>
                <w:szCs w:val="21"/>
                <w:highlight w:val="none"/>
              </w:rPr>
            </w:pPr>
            <w:r>
              <w:rPr>
                <w:rFonts w:hint="eastAsia"/>
                <w:color w:val="auto"/>
                <w:szCs w:val="21"/>
                <w:highlight w:val="none"/>
              </w:rPr>
              <w:t>40</w:t>
            </w:r>
          </w:p>
        </w:tc>
        <w:tc>
          <w:tcPr>
            <w:tcW w:w="540" w:type="dxa"/>
            <w:noWrap w:val="0"/>
            <w:vAlign w:val="center"/>
          </w:tcPr>
          <w:p>
            <w:pPr>
              <w:spacing w:line="360" w:lineRule="auto"/>
              <w:rPr>
                <w:color w:val="auto"/>
                <w:szCs w:val="21"/>
                <w:highlight w:val="none"/>
              </w:rPr>
            </w:pPr>
            <w:r>
              <w:rPr>
                <w:rFonts w:hint="eastAsia"/>
                <w:color w:val="auto"/>
                <w:szCs w:val="21"/>
                <w:highlight w:val="none"/>
              </w:rPr>
              <w:t>50</w:t>
            </w:r>
          </w:p>
        </w:tc>
        <w:tc>
          <w:tcPr>
            <w:tcW w:w="540" w:type="dxa"/>
            <w:noWrap w:val="0"/>
            <w:vAlign w:val="center"/>
          </w:tcPr>
          <w:p>
            <w:pPr>
              <w:spacing w:line="360" w:lineRule="auto"/>
              <w:rPr>
                <w:color w:val="auto"/>
                <w:szCs w:val="21"/>
                <w:highlight w:val="none"/>
              </w:rPr>
            </w:pPr>
            <w:r>
              <w:rPr>
                <w:rFonts w:hint="eastAsia"/>
                <w:color w:val="auto"/>
                <w:szCs w:val="21"/>
                <w:highlight w:val="none"/>
              </w:rPr>
              <w:t>60</w:t>
            </w:r>
          </w:p>
        </w:tc>
        <w:tc>
          <w:tcPr>
            <w:tcW w:w="540" w:type="dxa"/>
            <w:noWrap w:val="0"/>
            <w:vAlign w:val="center"/>
          </w:tcPr>
          <w:p>
            <w:pPr>
              <w:spacing w:line="360" w:lineRule="auto"/>
              <w:rPr>
                <w:color w:val="auto"/>
                <w:szCs w:val="21"/>
                <w:highlight w:val="none"/>
              </w:rPr>
            </w:pPr>
            <w:r>
              <w:rPr>
                <w:rFonts w:hint="eastAsia"/>
                <w:color w:val="auto"/>
                <w:szCs w:val="21"/>
                <w:highlight w:val="none"/>
              </w:rPr>
              <w:t>70</w:t>
            </w:r>
          </w:p>
        </w:tc>
        <w:tc>
          <w:tcPr>
            <w:tcW w:w="540" w:type="dxa"/>
            <w:noWrap w:val="0"/>
            <w:vAlign w:val="center"/>
          </w:tcPr>
          <w:p>
            <w:pPr>
              <w:spacing w:line="360" w:lineRule="auto"/>
              <w:rPr>
                <w:color w:val="auto"/>
                <w:szCs w:val="21"/>
                <w:highlight w:val="none"/>
              </w:rPr>
            </w:pPr>
            <w:r>
              <w:rPr>
                <w:rFonts w:hint="eastAsia"/>
                <w:color w:val="auto"/>
                <w:szCs w:val="21"/>
                <w:highlight w:val="none"/>
              </w:rPr>
              <w:t>80</w:t>
            </w:r>
          </w:p>
        </w:tc>
        <w:tc>
          <w:tcPr>
            <w:tcW w:w="540" w:type="dxa"/>
            <w:noWrap w:val="0"/>
            <w:vAlign w:val="center"/>
          </w:tcPr>
          <w:p>
            <w:pPr>
              <w:spacing w:line="360" w:lineRule="auto"/>
              <w:rPr>
                <w:color w:val="auto"/>
                <w:szCs w:val="21"/>
                <w:highlight w:val="none"/>
              </w:rPr>
            </w:pPr>
            <w:r>
              <w:rPr>
                <w:rFonts w:hint="eastAsia"/>
                <w:color w:val="auto"/>
                <w:szCs w:val="21"/>
                <w:highlight w:val="none"/>
              </w:rPr>
              <w:t>85</w:t>
            </w:r>
          </w:p>
        </w:tc>
        <w:tc>
          <w:tcPr>
            <w:tcW w:w="540" w:type="dxa"/>
            <w:noWrap w:val="0"/>
            <w:vAlign w:val="center"/>
          </w:tcPr>
          <w:p>
            <w:pPr>
              <w:spacing w:line="360" w:lineRule="auto"/>
              <w:rPr>
                <w:color w:val="auto"/>
                <w:szCs w:val="21"/>
                <w:highlight w:val="none"/>
              </w:rPr>
            </w:pPr>
            <w:r>
              <w:rPr>
                <w:rFonts w:hint="eastAsia"/>
                <w:color w:val="auto"/>
                <w:szCs w:val="21"/>
                <w:highlight w:val="none"/>
              </w:rPr>
              <w:t>90</w:t>
            </w:r>
          </w:p>
        </w:tc>
        <w:tc>
          <w:tcPr>
            <w:tcW w:w="537" w:type="dxa"/>
            <w:noWrap w:val="0"/>
            <w:vAlign w:val="center"/>
          </w:tcPr>
          <w:p>
            <w:pPr>
              <w:spacing w:line="360" w:lineRule="auto"/>
              <w:rPr>
                <w:color w:val="auto"/>
                <w:szCs w:val="21"/>
                <w:highlight w:val="none"/>
              </w:rPr>
            </w:pPr>
            <w:r>
              <w:rPr>
                <w:rFonts w:hint="eastAsia"/>
                <w:color w:val="auto"/>
                <w:szCs w:val="21"/>
                <w:highlight w:val="none"/>
              </w:rPr>
              <w:t>95</w:t>
            </w:r>
          </w:p>
        </w:tc>
        <w:tc>
          <w:tcPr>
            <w:tcW w:w="531" w:type="dxa"/>
            <w:noWrap w:val="0"/>
            <w:vAlign w:val="center"/>
          </w:tcPr>
          <w:p>
            <w:pPr>
              <w:spacing w:line="360" w:lineRule="auto"/>
              <w:rPr>
                <w:color w:val="auto"/>
                <w:szCs w:val="21"/>
                <w:highlight w:val="none"/>
              </w:rPr>
            </w:pPr>
            <w:r>
              <w:rPr>
                <w:rFonts w:hint="eastAsia"/>
                <w:color w:val="auto"/>
                <w:szCs w:val="21"/>
                <w:highlight w:val="none"/>
              </w:rPr>
              <w:t>100</w:t>
            </w:r>
          </w:p>
        </w:tc>
      </w:tr>
    </w:tbl>
    <w:p>
      <w:pPr>
        <w:spacing w:line="360" w:lineRule="auto"/>
        <w:rPr>
          <w:rFonts w:hint="eastAsia"/>
          <w:color w:val="auto"/>
          <w:szCs w:val="21"/>
          <w:highlight w:val="none"/>
        </w:rPr>
      </w:pPr>
      <w:r>
        <w:rPr>
          <w:rFonts w:hint="eastAsia"/>
          <w:color w:val="auto"/>
          <w:szCs w:val="21"/>
          <w:highlight w:val="none"/>
        </w:rPr>
        <w:t>注：不足一个月的部分按一个月计收。</w:t>
      </w:r>
    </w:p>
    <w:p>
      <w:pPr>
        <w:pStyle w:val="11"/>
        <w:jc w:val="center"/>
        <w:rPr>
          <w:color w:val="auto"/>
          <w:highlight w:val="none"/>
        </w:rPr>
      </w:pPr>
      <w:r>
        <w:rPr>
          <w:rFonts w:hint="eastAsia"/>
          <w:color w:val="auto"/>
          <w:highlight w:val="none"/>
        </w:rPr>
        <w:br w:type="page"/>
      </w:r>
      <w:r>
        <w:rPr>
          <w:rFonts w:hint="eastAsia"/>
          <w:color w:val="auto"/>
          <w:highlight w:val="none"/>
        </w:rPr>
        <w:t>机器损坏保险条款</w:t>
      </w:r>
    </w:p>
    <w:p>
      <w:pPr>
        <w:spacing w:line="360" w:lineRule="auto"/>
        <w:jc w:val="center"/>
        <w:rPr>
          <w:b/>
          <w:color w:val="auto"/>
          <w:szCs w:val="21"/>
          <w:highlight w:val="none"/>
        </w:rPr>
      </w:pPr>
      <w:r>
        <w:rPr>
          <w:rFonts w:hint="eastAsia"/>
          <w:b/>
          <w:color w:val="auto"/>
          <w:szCs w:val="21"/>
          <w:highlight w:val="none"/>
        </w:rPr>
        <w:t>（本条款适用电厂和半导体行业）</w:t>
      </w:r>
    </w:p>
    <w:p>
      <w:pPr>
        <w:pStyle w:val="12"/>
        <w:jc w:val="center"/>
        <w:rPr>
          <w:b/>
          <w:color w:val="auto"/>
          <w:highlight w:val="none"/>
        </w:rPr>
      </w:pPr>
      <w:r>
        <w:rPr>
          <w:rFonts w:hint="eastAsia"/>
          <w:b/>
          <w:color w:val="auto"/>
          <w:highlight w:val="none"/>
        </w:rPr>
        <w:t>总则</w:t>
      </w:r>
    </w:p>
    <w:p>
      <w:pPr>
        <w:spacing w:line="360" w:lineRule="auto"/>
        <w:rPr>
          <w:color w:val="auto"/>
          <w:szCs w:val="21"/>
          <w:highlight w:val="none"/>
        </w:rPr>
      </w:pPr>
      <w:r>
        <w:rPr>
          <w:rFonts w:hint="eastAsia"/>
          <w:color w:val="auto"/>
          <w:szCs w:val="21"/>
          <w:highlight w:val="none"/>
        </w:rPr>
        <w:t>第一条  本保险合同由保险条款、投保单、保险单或其他保险凭证以及批单组成。凡涉及本保险合同的约定，均应采用书面形式。</w:t>
      </w:r>
    </w:p>
    <w:p>
      <w:pPr>
        <w:pStyle w:val="12"/>
        <w:jc w:val="center"/>
        <w:rPr>
          <w:b/>
          <w:color w:val="auto"/>
          <w:highlight w:val="none"/>
        </w:rPr>
      </w:pPr>
      <w:r>
        <w:rPr>
          <w:rFonts w:hint="eastAsia"/>
          <w:b/>
          <w:color w:val="auto"/>
          <w:highlight w:val="none"/>
        </w:rPr>
        <w:t>保险标的</w:t>
      </w:r>
    </w:p>
    <w:p>
      <w:pPr>
        <w:spacing w:line="360" w:lineRule="auto"/>
        <w:rPr>
          <w:color w:val="auto"/>
          <w:szCs w:val="21"/>
          <w:highlight w:val="none"/>
        </w:rPr>
      </w:pPr>
      <w:r>
        <w:rPr>
          <w:rFonts w:hint="eastAsia"/>
          <w:color w:val="auto"/>
          <w:szCs w:val="21"/>
          <w:highlight w:val="none"/>
        </w:rPr>
        <w:t>第二条  本保险合同载明的机器及附属设备，均可作为保险标的。</w:t>
      </w:r>
    </w:p>
    <w:p>
      <w:pPr>
        <w:pStyle w:val="12"/>
        <w:jc w:val="center"/>
        <w:rPr>
          <w:b/>
          <w:color w:val="auto"/>
          <w:highlight w:val="none"/>
        </w:rPr>
      </w:pPr>
      <w:r>
        <w:rPr>
          <w:rFonts w:hint="eastAsia"/>
          <w:b/>
          <w:color w:val="auto"/>
          <w:highlight w:val="none"/>
        </w:rPr>
        <w:t>保险责任</w:t>
      </w:r>
    </w:p>
    <w:p>
      <w:pPr>
        <w:spacing w:line="360" w:lineRule="auto"/>
        <w:rPr>
          <w:color w:val="auto"/>
          <w:szCs w:val="21"/>
          <w:highlight w:val="none"/>
        </w:rPr>
      </w:pPr>
      <w:r>
        <w:rPr>
          <w:rFonts w:hint="eastAsia"/>
          <w:color w:val="auto"/>
          <w:szCs w:val="21"/>
          <w:highlight w:val="none"/>
        </w:rPr>
        <w:t>第三条  在保险期间内，因下列原因引起或构成突然的、不可预料的意外事故造成的物质损坏或灭失(以下简称“损失”)，保险人按照本保险合同的约定负责赔偿：</w:t>
      </w:r>
    </w:p>
    <w:p>
      <w:pPr>
        <w:spacing w:line="360" w:lineRule="auto"/>
        <w:rPr>
          <w:color w:val="auto"/>
          <w:szCs w:val="21"/>
          <w:highlight w:val="none"/>
        </w:rPr>
      </w:pPr>
      <w:r>
        <w:rPr>
          <w:rFonts w:hint="eastAsia"/>
          <w:color w:val="auto"/>
          <w:szCs w:val="21"/>
          <w:highlight w:val="none"/>
        </w:rPr>
        <w:t>(一) 设计、制造或安装错误、铸造和原材料缺陷；</w:t>
      </w:r>
    </w:p>
    <w:p>
      <w:pPr>
        <w:spacing w:line="360" w:lineRule="auto"/>
        <w:rPr>
          <w:color w:val="auto"/>
          <w:szCs w:val="21"/>
          <w:highlight w:val="none"/>
        </w:rPr>
      </w:pPr>
      <w:r>
        <w:rPr>
          <w:rFonts w:hint="eastAsia"/>
          <w:color w:val="auto"/>
          <w:szCs w:val="21"/>
          <w:highlight w:val="none"/>
        </w:rPr>
        <w:t>(二) 工人、技术人员操作错误、缺乏经验、技术不善、疏忽、过失、恶意行为；</w:t>
      </w:r>
    </w:p>
    <w:p>
      <w:pPr>
        <w:spacing w:line="360" w:lineRule="auto"/>
        <w:rPr>
          <w:color w:val="auto"/>
          <w:szCs w:val="21"/>
          <w:highlight w:val="none"/>
        </w:rPr>
      </w:pPr>
      <w:r>
        <w:rPr>
          <w:rFonts w:hint="eastAsia"/>
          <w:color w:val="auto"/>
          <w:szCs w:val="21"/>
          <w:highlight w:val="none"/>
        </w:rPr>
        <w:t>(三) 离心力引起的断裂；</w:t>
      </w:r>
    </w:p>
    <w:p>
      <w:pPr>
        <w:spacing w:line="360" w:lineRule="auto"/>
        <w:rPr>
          <w:color w:val="auto"/>
          <w:szCs w:val="21"/>
          <w:highlight w:val="none"/>
        </w:rPr>
      </w:pPr>
      <w:r>
        <w:rPr>
          <w:rFonts w:hint="eastAsia"/>
          <w:color w:val="auto"/>
          <w:szCs w:val="21"/>
          <w:highlight w:val="none"/>
        </w:rPr>
        <w:t>(四) 超负荷、超电压、碰线、电弧、漏电、短路、大气放电、感应电及其他电气原因；</w:t>
      </w:r>
    </w:p>
    <w:p>
      <w:pPr>
        <w:spacing w:line="360" w:lineRule="auto"/>
        <w:rPr>
          <w:color w:val="auto"/>
          <w:szCs w:val="21"/>
          <w:highlight w:val="none"/>
        </w:rPr>
      </w:pPr>
      <w:r>
        <w:rPr>
          <w:rFonts w:hint="eastAsia"/>
          <w:color w:val="auto"/>
          <w:szCs w:val="21"/>
          <w:highlight w:val="none"/>
        </w:rPr>
        <w:t>（五）除本条款中“责任免除”规定以外的其他原因。</w:t>
      </w:r>
    </w:p>
    <w:p>
      <w:pPr>
        <w:spacing w:line="360" w:lineRule="auto"/>
        <w:rPr>
          <w:color w:val="auto"/>
          <w:szCs w:val="21"/>
          <w:highlight w:val="none"/>
        </w:rPr>
      </w:pPr>
      <w:r>
        <w:rPr>
          <w:rFonts w:hint="eastAsia"/>
          <w:color w:val="auto"/>
          <w:szCs w:val="21"/>
          <w:highlight w:val="none"/>
        </w:rPr>
        <w:t>第四条  保险事故发生后，被保险人为防止或减少保险标的的损失所支付的必要的、合理的费用，保险人按照本保险合同的约定也负责赔偿。</w:t>
      </w:r>
    </w:p>
    <w:p>
      <w:pPr>
        <w:pStyle w:val="12"/>
        <w:jc w:val="center"/>
        <w:rPr>
          <w:b/>
          <w:color w:val="auto"/>
          <w:highlight w:val="none"/>
        </w:rPr>
      </w:pPr>
      <w:r>
        <w:rPr>
          <w:rFonts w:hint="eastAsia"/>
          <w:b/>
          <w:color w:val="auto"/>
          <w:highlight w:val="none"/>
        </w:rPr>
        <w:t>责任免除</w:t>
      </w:r>
    </w:p>
    <w:p>
      <w:pPr>
        <w:spacing w:line="360" w:lineRule="auto"/>
        <w:rPr>
          <w:color w:val="auto"/>
          <w:szCs w:val="21"/>
          <w:highlight w:val="none"/>
        </w:rPr>
      </w:pPr>
      <w:r>
        <w:rPr>
          <w:rFonts w:hint="eastAsia"/>
          <w:color w:val="auto"/>
          <w:szCs w:val="21"/>
          <w:highlight w:val="none"/>
        </w:rPr>
        <w:t>第五条 下列原因造成的损失、费用，保险人不负责赔偿：</w:t>
      </w:r>
    </w:p>
    <w:p>
      <w:pPr>
        <w:spacing w:line="360" w:lineRule="auto"/>
        <w:rPr>
          <w:color w:val="auto"/>
          <w:szCs w:val="21"/>
          <w:highlight w:val="none"/>
        </w:rPr>
      </w:pPr>
      <w:r>
        <w:rPr>
          <w:rFonts w:hint="eastAsia"/>
          <w:color w:val="auto"/>
          <w:szCs w:val="21"/>
          <w:highlight w:val="none"/>
        </w:rPr>
        <w:t>（一）被保险人及其代表的故意行为或重大过失；</w:t>
      </w:r>
    </w:p>
    <w:p>
      <w:pPr>
        <w:spacing w:line="360" w:lineRule="auto"/>
        <w:rPr>
          <w:color w:val="auto"/>
          <w:szCs w:val="21"/>
          <w:highlight w:val="none"/>
        </w:rPr>
      </w:pPr>
      <w:r>
        <w:rPr>
          <w:rFonts w:hint="eastAsia"/>
          <w:color w:val="auto"/>
          <w:szCs w:val="21"/>
          <w:highlight w:val="none"/>
        </w:rPr>
        <w:t>（二）被保险人及其代表已经知道或应该知道的保险机器及其附属设备在本保险开始前已经存在的缺点或缺陷；</w:t>
      </w:r>
    </w:p>
    <w:p>
      <w:pPr>
        <w:spacing w:line="360" w:lineRule="auto"/>
        <w:rPr>
          <w:color w:val="auto"/>
          <w:szCs w:val="21"/>
          <w:highlight w:val="none"/>
        </w:rPr>
      </w:pPr>
      <w:r>
        <w:rPr>
          <w:rFonts w:hint="eastAsia"/>
          <w:color w:val="auto"/>
          <w:szCs w:val="21"/>
          <w:highlight w:val="none"/>
        </w:rPr>
        <w:t>（三）战争、类似战争行为、敌对行为、武装冲突、恐怖活动、谋反、政变、罢工、暴动、民众骚乱；</w:t>
      </w:r>
    </w:p>
    <w:p>
      <w:pPr>
        <w:spacing w:line="360" w:lineRule="auto"/>
        <w:rPr>
          <w:color w:val="auto"/>
          <w:szCs w:val="21"/>
          <w:highlight w:val="none"/>
        </w:rPr>
      </w:pPr>
      <w:r>
        <w:rPr>
          <w:rFonts w:hint="eastAsia"/>
          <w:color w:val="auto"/>
          <w:szCs w:val="21"/>
          <w:highlight w:val="none"/>
        </w:rPr>
        <w:t>（四）政府命令或任何公共当局没收、征用、销毁或毁坏；</w:t>
      </w:r>
    </w:p>
    <w:p>
      <w:pPr>
        <w:spacing w:line="360" w:lineRule="auto"/>
        <w:rPr>
          <w:color w:val="auto"/>
          <w:szCs w:val="21"/>
          <w:highlight w:val="none"/>
        </w:rPr>
      </w:pPr>
      <w:r>
        <w:rPr>
          <w:rFonts w:hint="eastAsia"/>
          <w:color w:val="auto"/>
          <w:szCs w:val="21"/>
          <w:highlight w:val="none"/>
        </w:rPr>
        <w:t>（五）核裂变、核聚变、核武器、核材料、核辐射及放射性污染；</w:t>
      </w:r>
    </w:p>
    <w:p>
      <w:pPr>
        <w:spacing w:line="360" w:lineRule="auto"/>
        <w:rPr>
          <w:color w:val="auto"/>
          <w:szCs w:val="21"/>
          <w:highlight w:val="none"/>
        </w:rPr>
      </w:pPr>
      <w:r>
        <w:rPr>
          <w:rFonts w:hint="eastAsia"/>
          <w:color w:val="auto"/>
          <w:szCs w:val="21"/>
          <w:highlight w:val="none"/>
        </w:rPr>
        <w:t>（六）机器设备运行必然引起的后果，如自然磨损、氧化、腐蚀、锈蚀、孔蚀、锅垢等物理性变化或化学反应；</w:t>
      </w:r>
    </w:p>
    <w:p>
      <w:pPr>
        <w:spacing w:line="360" w:lineRule="auto"/>
        <w:rPr>
          <w:color w:val="auto"/>
          <w:szCs w:val="21"/>
          <w:highlight w:val="none"/>
        </w:rPr>
      </w:pPr>
      <w:r>
        <w:rPr>
          <w:rFonts w:hint="eastAsia"/>
          <w:color w:val="auto"/>
          <w:szCs w:val="21"/>
          <w:highlight w:val="none"/>
        </w:rPr>
        <w:t>（七）由于公共设施部门的限制性供应及故意行为或非意外事故引起的停电、停气、停水；</w:t>
      </w:r>
    </w:p>
    <w:p>
      <w:pPr>
        <w:spacing w:line="360" w:lineRule="auto"/>
        <w:rPr>
          <w:color w:val="auto"/>
          <w:szCs w:val="21"/>
          <w:highlight w:val="none"/>
        </w:rPr>
      </w:pPr>
      <w:r>
        <w:rPr>
          <w:rFonts w:hint="eastAsia"/>
          <w:color w:val="auto"/>
          <w:szCs w:val="21"/>
          <w:highlight w:val="none"/>
        </w:rPr>
        <w:t>（八）火灾、爆炸；</w:t>
      </w:r>
    </w:p>
    <w:p>
      <w:pPr>
        <w:spacing w:line="360" w:lineRule="auto"/>
        <w:rPr>
          <w:color w:val="auto"/>
          <w:szCs w:val="21"/>
          <w:highlight w:val="none"/>
        </w:rPr>
      </w:pPr>
      <w:r>
        <w:rPr>
          <w:rFonts w:hint="eastAsia"/>
          <w:color w:val="auto"/>
          <w:szCs w:val="21"/>
          <w:highlight w:val="none"/>
        </w:rPr>
        <w:t>（九）地震、海啸及其次生灾害</w:t>
      </w:r>
    </w:p>
    <w:p>
      <w:pPr>
        <w:spacing w:line="360" w:lineRule="auto"/>
        <w:rPr>
          <w:color w:val="auto"/>
          <w:szCs w:val="21"/>
          <w:highlight w:val="none"/>
        </w:rPr>
      </w:pPr>
      <w:r>
        <w:rPr>
          <w:rFonts w:hint="eastAsia"/>
          <w:color w:val="auto"/>
          <w:szCs w:val="21"/>
          <w:highlight w:val="none"/>
        </w:rPr>
        <w:t>（十）雷击、飓风、台风、龙卷风、暴风、暴雨、洪水、冰雹、地崩、山崩、雪崩、火山爆发、地面下陷下沉及其他自然灾害；</w:t>
      </w:r>
    </w:p>
    <w:p>
      <w:pPr>
        <w:spacing w:line="360" w:lineRule="auto"/>
        <w:rPr>
          <w:color w:val="auto"/>
          <w:szCs w:val="21"/>
          <w:highlight w:val="none"/>
        </w:rPr>
      </w:pPr>
      <w:r>
        <w:rPr>
          <w:rFonts w:hint="eastAsia"/>
          <w:color w:val="auto"/>
          <w:szCs w:val="21"/>
          <w:highlight w:val="none"/>
        </w:rPr>
        <w:t>（十一）飞机坠毁、飞机部件或飞机物体坠落；</w:t>
      </w:r>
    </w:p>
    <w:p>
      <w:pPr>
        <w:spacing w:line="360" w:lineRule="auto"/>
        <w:rPr>
          <w:color w:val="auto"/>
          <w:szCs w:val="21"/>
          <w:highlight w:val="none"/>
        </w:rPr>
      </w:pPr>
      <w:r>
        <w:rPr>
          <w:rFonts w:hint="eastAsia"/>
          <w:color w:val="auto"/>
          <w:szCs w:val="21"/>
          <w:highlight w:val="none"/>
        </w:rPr>
        <w:t>（十二）机动车碰撞；</w:t>
      </w:r>
    </w:p>
    <w:p>
      <w:pPr>
        <w:spacing w:line="360" w:lineRule="auto"/>
        <w:rPr>
          <w:color w:val="auto"/>
          <w:szCs w:val="21"/>
          <w:highlight w:val="none"/>
        </w:rPr>
      </w:pPr>
      <w:r>
        <w:rPr>
          <w:rFonts w:hint="eastAsia"/>
          <w:color w:val="auto"/>
          <w:szCs w:val="21"/>
          <w:highlight w:val="none"/>
        </w:rPr>
        <w:t>（十三）水箱、水管爆裂。</w:t>
      </w:r>
    </w:p>
    <w:p>
      <w:pPr>
        <w:spacing w:line="360" w:lineRule="auto"/>
        <w:rPr>
          <w:color w:val="auto"/>
          <w:szCs w:val="21"/>
          <w:highlight w:val="none"/>
        </w:rPr>
      </w:pPr>
      <w:r>
        <w:rPr>
          <w:rFonts w:hint="eastAsia"/>
          <w:color w:val="auto"/>
          <w:szCs w:val="21"/>
          <w:highlight w:val="none"/>
        </w:rPr>
        <w:t>第六条  下列损失、费用，保险人也不负责赔偿：</w:t>
      </w:r>
    </w:p>
    <w:p>
      <w:pPr>
        <w:spacing w:line="360" w:lineRule="auto"/>
        <w:rPr>
          <w:color w:val="auto"/>
          <w:szCs w:val="21"/>
          <w:highlight w:val="none"/>
        </w:rPr>
      </w:pPr>
      <w:r>
        <w:rPr>
          <w:rFonts w:hint="eastAsia"/>
          <w:color w:val="auto"/>
          <w:szCs w:val="21"/>
          <w:highlight w:val="none"/>
        </w:rPr>
        <w:t>（一）保险事故发生后引起的各种间接损失或费用；</w:t>
      </w:r>
    </w:p>
    <w:p>
      <w:pPr>
        <w:spacing w:line="360" w:lineRule="auto"/>
        <w:rPr>
          <w:color w:val="auto"/>
          <w:szCs w:val="21"/>
          <w:highlight w:val="none"/>
        </w:rPr>
      </w:pPr>
      <w:r>
        <w:rPr>
          <w:rFonts w:hint="eastAsia"/>
          <w:color w:val="auto"/>
          <w:szCs w:val="21"/>
          <w:highlight w:val="none"/>
        </w:rPr>
        <w:t>（二）各种传送带、缆绳、金属线、链条、轮胎、可调换或替代的钻头、钻杆、刀具、印刷滚筒、套筒、活动管道、玻璃、磁、陶及钢筛、网筛、毛毡制品、一切操作中的媒介物(如润滑油、燃料、催化剂等) 及其他各种易损、易耗品；</w:t>
      </w:r>
    </w:p>
    <w:p>
      <w:pPr>
        <w:spacing w:line="360" w:lineRule="auto"/>
        <w:rPr>
          <w:color w:val="auto"/>
          <w:szCs w:val="21"/>
          <w:highlight w:val="none"/>
        </w:rPr>
      </w:pPr>
      <w:r>
        <w:rPr>
          <w:rFonts w:hint="eastAsia"/>
          <w:color w:val="auto"/>
          <w:szCs w:val="21"/>
          <w:highlight w:val="none"/>
        </w:rPr>
        <w:t>（三）根据法律或契约应由供货方、制造人、安装人或修理人负责的损失或费用；</w:t>
      </w:r>
    </w:p>
    <w:p>
      <w:pPr>
        <w:spacing w:line="360" w:lineRule="auto"/>
        <w:rPr>
          <w:color w:val="auto"/>
          <w:szCs w:val="21"/>
          <w:highlight w:val="none"/>
        </w:rPr>
      </w:pPr>
      <w:r>
        <w:rPr>
          <w:rFonts w:hint="eastAsia"/>
          <w:color w:val="auto"/>
          <w:szCs w:val="21"/>
          <w:highlight w:val="none"/>
        </w:rPr>
        <w:t>（四）保险机器设备在修复或重置过程中发生的任何变更、性能增加或改进所产生的额外费用；</w:t>
      </w:r>
    </w:p>
    <w:p>
      <w:pPr>
        <w:spacing w:line="360" w:lineRule="auto"/>
        <w:rPr>
          <w:color w:val="auto"/>
          <w:szCs w:val="21"/>
          <w:highlight w:val="none"/>
        </w:rPr>
      </w:pPr>
      <w:r>
        <w:rPr>
          <w:rFonts w:hint="eastAsia"/>
          <w:color w:val="auto"/>
          <w:szCs w:val="21"/>
          <w:highlight w:val="none"/>
        </w:rPr>
        <w:t>（五） 本保险合同中载明的免赔额或按本保险合同中载明的免赔率计算的免赔额。</w:t>
      </w:r>
    </w:p>
    <w:p>
      <w:pPr>
        <w:pStyle w:val="12"/>
        <w:jc w:val="center"/>
        <w:rPr>
          <w:b/>
          <w:color w:val="auto"/>
          <w:highlight w:val="none"/>
        </w:rPr>
      </w:pPr>
      <w:r>
        <w:rPr>
          <w:rFonts w:hint="eastAsia"/>
          <w:b/>
          <w:color w:val="auto"/>
          <w:highlight w:val="none"/>
        </w:rPr>
        <w:t>保险金额与免赔额（率）</w:t>
      </w:r>
    </w:p>
    <w:p>
      <w:pPr>
        <w:spacing w:line="360" w:lineRule="auto"/>
        <w:rPr>
          <w:color w:val="auto"/>
          <w:szCs w:val="21"/>
          <w:highlight w:val="none"/>
        </w:rPr>
      </w:pPr>
      <w:r>
        <w:rPr>
          <w:rFonts w:hint="eastAsia"/>
          <w:color w:val="auto"/>
          <w:szCs w:val="21"/>
          <w:highlight w:val="none"/>
        </w:rPr>
        <w:t>第七条  本保险合同承保的机器设备的保险金额应为该机器设备的重置价值，即重新换置同一厂牌或相类似的型号、规格、性能的新机器设备的价格，包括出厂价格、运保费、税款、可能支付的关税以及安装费用等。</w:t>
      </w:r>
    </w:p>
    <w:p>
      <w:pPr>
        <w:spacing w:line="360" w:lineRule="auto"/>
        <w:rPr>
          <w:color w:val="auto"/>
          <w:szCs w:val="21"/>
          <w:highlight w:val="none"/>
        </w:rPr>
      </w:pPr>
      <w:r>
        <w:rPr>
          <w:rFonts w:hint="eastAsia"/>
          <w:color w:val="auto"/>
          <w:szCs w:val="21"/>
          <w:highlight w:val="none"/>
        </w:rPr>
        <w:t>第八条  免赔额（率）由投保人与保险人在订立保险合同时协商确定，并在保险合同中载明。</w:t>
      </w:r>
    </w:p>
    <w:p>
      <w:pPr>
        <w:spacing w:line="360" w:lineRule="auto"/>
        <w:rPr>
          <w:color w:val="auto"/>
          <w:szCs w:val="21"/>
          <w:highlight w:val="none"/>
        </w:rPr>
      </w:pPr>
      <w:r>
        <w:rPr>
          <w:rFonts w:hint="eastAsia"/>
          <w:color w:val="auto"/>
          <w:szCs w:val="21"/>
          <w:highlight w:val="none"/>
        </w:rPr>
        <w:t>保险期间</w:t>
      </w:r>
    </w:p>
    <w:p>
      <w:pPr>
        <w:spacing w:line="360" w:lineRule="auto"/>
        <w:rPr>
          <w:color w:val="auto"/>
          <w:szCs w:val="21"/>
          <w:highlight w:val="none"/>
        </w:rPr>
      </w:pPr>
      <w:r>
        <w:rPr>
          <w:rFonts w:hint="eastAsia"/>
          <w:color w:val="auto"/>
          <w:szCs w:val="21"/>
          <w:highlight w:val="none"/>
        </w:rPr>
        <w:t>第九条  除另有约定外，保险期间为一年，以保险单载明的起讫时间为准。</w:t>
      </w:r>
    </w:p>
    <w:p>
      <w:pPr>
        <w:spacing w:line="360" w:lineRule="auto"/>
        <w:rPr>
          <w:color w:val="auto"/>
          <w:szCs w:val="21"/>
          <w:highlight w:val="none"/>
        </w:rPr>
      </w:pPr>
      <w:r>
        <w:rPr>
          <w:rFonts w:hint="eastAsia"/>
          <w:color w:val="auto"/>
          <w:szCs w:val="21"/>
          <w:highlight w:val="none"/>
        </w:rPr>
        <w:t>保险人义务</w:t>
      </w:r>
    </w:p>
    <w:p>
      <w:pPr>
        <w:spacing w:line="360" w:lineRule="auto"/>
        <w:rPr>
          <w:color w:val="auto"/>
          <w:szCs w:val="21"/>
          <w:highlight w:val="none"/>
        </w:rPr>
      </w:pPr>
      <w:r>
        <w:rPr>
          <w:rFonts w:hint="eastAsia"/>
          <w:color w:val="auto"/>
          <w:szCs w:val="21"/>
          <w:highlight w:val="none"/>
        </w:rPr>
        <w:t>第十条 订立本保险合同时，保险人应向投保人说明本合同的条款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spacing w:line="360" w:lineRule="auto"/>
        <w:rPr>
          <w:color w:val="auto"/>
          <w:szCs w:val="21"/>
          <w:highlight w:val="none"/>
        </w:rPr>
      </w:pPr>
      <w:r>
        <w:rPr>
          <w:rFonts w:hint="eastAsia"/>
          <w:color w:val="auto"/>
          <w:szCs w:val="21"/>
          <w:highlight w:val="none"/>
        </w:rPr>
        <w:t>第十一条  本保险合同成立后，保险人应当及时向投保人签发保险单或其他保险凭证。</w:t>
      </w:r>
    </w:p>
    <w:p>
      <w:pPr>
        <w:spacing w:line="360" w:lineRule="auto"/>
        <w:rPr>
          <w:color w:val="auto"/>
          <w:szCs w:val="21"/>
          <w:highlight w:val="none"/>
        </w:rPr>
      </w:pPr>
      <w:r>
        <w:rPr>
          <w:rFonts w:hint="eastAsia"/>
          <w:color w:val="auto"/>
          <w:szCs w:val="21"/>
          <w:highlight w:val="none"/>
        </w:rPr>
        <w:t>第十二条  保险人依据第十六条所取得的保险合同解除权，自保险人知道有解除事由之日起，超过三十日不行使而消灭。自保险合同成立之日起超过二年的，保险人不得解除合同；发生保险事故的，保险人承担赔偿责任。</w:t>
      </w:r>
    </w:p>
    <w:p>
      <w:pPr>
        <w:spacing w:line="360" w:lineRule="auto"/>
        <w:rPr>
          <w:color w:val="auto"/>
          <w:szCs w:val="21"/>
          <w:highlight w:val="none"/>
        </w:rPr>
      </w:pPr>
      <w:r>
        <w:rPr>
          <w:rFonts w:hint="eastAsia"/>
          <w:color w:val="auto"/>
          <w:szCs w:val="21"/>
          <w:highlight w:val="none"/>
        </w:rPr>
        <w:t>保险人在合同订立时已经知道投保人未如实告知的情况的，保险人不得解除合同；发生保险事故的，保险人应当承担赔偿责任。</w:t>
      </w:r>
    </w:p>
    <w:p>
      <w:pPr>
        <w:spacing w:line="360" w:lineRule="auto"/>
        <w:rPr>
          <w:color w:val="auto"/>
          <w:szCs w:val="21"/>
          <w:highlight w:val="none"/>
        </w:rPr>
      </w:pPr>
      <w:r>
        <w:rPr>
          <w:rFonts w:hint="eastAsia"/>
          <w:color w:val="auto"/>
          <w:szCs w:val="21"/>
          <w:highlight w:val="none"/>
        </w:rPr>
        <w:t>第十三条 保险人按照第二十二条的约定，认为被保险人提供的有关索赔的证明和资料不完整的，应当及时一次性通知投保人、被保险人补充提供。</w:t>
      </w:r>
    </w:p>
    <w:p>
      <w:pPr>
        <w:spacing w:line="360" w:lineRule="auto"/>
        <w:rPr>
          <w:color w:val="auto"/>
          <w:szCs w:val="21"/>
          <w:highlight w:val="none"/>
        </w:rPr>
      </w:pPr>
      <w:r>
        <w:rPr>
          <w:rFonts w:hint="eastAsia"/>
          <w:color w:val="auto"/>
          <w:szCs w:val="21"/>
          <w:highlight w:val="none"/>
        </w:rPr>
        <w:t>第十四条  保险人收到被保险人的赔偿保险金的请求后，应当及时作出是否属于保险责任的核定；情形复杂的，应当在三十日内作出核定，但保险合同另有约定的除外。</w:t>
      </w:r>
    </w:p>
    <w:p>
      <w:pPr>
        <w:spacing w:line="360" w:lineRule="auto"/>
        <w:rPr>
          <w:color w:val="auto"/>
          <w:szCs w:val="21"/>
          <w:highlight w:val="none"/>
        </w:rPr>
      </w:pPr>
      <w:r>
        <w:rPr>
          <w:rFonts w:hint="eastAsia"/>
          <w:color w:val="auto"/>
          <w:szCs w:val="21"/>
          <w:highlight w:val="none"/>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作出核定后，对不属于保险责任的，应当自作出核定之日起三日内向被保险人发出拒绝赔偿保险金通知书，并说明理由。</w:t>
      </w:r>
    </w:p>
    <w:p>
      <w:pPr>
        <w:spacing w:line="360" w:lineRule="auto"/>
        <w:rPr>
          <w:color w:val="auto"/>
          <w:szCs w:val="21"/>
          <w:highlight w:val="none"/>
        </w:rPr>
      </w:pPr>
      <w:r>
        <w:rPr>
          <w:rFonts w:hint="eastAsia"/>
          <w:color w:val="auto"/>
          <w:szCs w:val="21"/>
          <w:highlight w:val="none"/>
        </w:rPr>
        <w:t>第十五条 保险人自收到赔偿的请求和有关证明、资料之日起六十日内，对其赔偿保险金的数额不能确定的，应当根据已有证明和资料可以确定的数额先予支付；保险人最终确定赔偿的数额后，应当支付相应的差额。 </w:t>
      </w:r>
    </w:p>
    <w:p>
      <w:pPr>
        <w:pStyle w:val="12"/>
        <w:jc w:val="center"/>
        <w:rPr>
          <w:b/>
          <w:color w:val="auto"/>
          <w:highlight w:val="none"/>
        </w:rPr>
      </w:pPr>
      <w:r>
        <w:rPr>
          <w:rFonts w:hint="eastAsia"/>
          <w:b/>
          <w:color w:val="auto"/>
          <w:highlight w:val="none"/>
        </w:rPr>
        <w:t>投保人、被保险人义务</w:t>
      </w:r>
    </w:p>
    <w:p>
      <w:pPr>
        <w:spacing w:line="360" w:lineRule="auto"/>
        <w:rPr>
          <w:color w:val="auto"/>
          <w:szCs w:val="21"/>
          <w:highlight w:val="none"/>
        </w:rPr>
      </w:pPr>
      <w:r>
        <w:rPr>
          <w:rFonts w:hint="eastAsia"/>
          <w:color w:val="auto"/>
          <w:szCs w:val="21"/>
          <w:highlight w:val="none"/>
        </w:rPr>
        <w:t>第十六条  订立保险合同，保险人就保险标的或者被保险人的有关情况提出询问的，投保人应当如实告知，并如实填写投保单。</w:t>
      </w:r>
    </w:p>
    <w:p>
      <w:pPr>
        <w:spacing w:line="360" w:lineRule="auto"/>
        <w:rPr>
          <w:rFonts w:hint="eastAsia"/>
          <w:color w:val="auto"/>
          <w:szCs w:val="21"/>
          <w:highlight w:val="none"/>
        </w:rPr>
      </w:pPr>
      <w:r>
        <w:rPr>
          <w:rFonts w:hint="eastAsia"/>
          <w:color w:val="auto"/>
          <w:szCs w:val="21"/>
          <w:highlight w:val="none"/>
        </w:rPr>
        <w:t>投保人故意或者因重大过失未履行前款规定的如实告知义务，足以影响保险人决定是否同意承保或者提高保险费率的，保险人有权解除合同。</w:t>
      </w:r>
    </w:p>
    <w:p>
      <w:pPr>
        <w:spacing w:line="360" w:lineRule="auto"/>
        <w:rPr>
          <w:rFonts w:hint="eastAsia"/>
          <w:color w:val="auto"/>
          <w:szCs w:val="21"/>
          <w:highlight w:val="none"/>
        </w:rPr>
      </w:pPr>
      <w:r>
        <w:rPr>
          <w:rFonts w:hint="eastAsia"/>
          <w:color w:val="auto"/>
          <w:szCs w:val="21"/>
          <w:highlight w:val="none"/>
        </w:rPr>
        <w:t>投保人故意不履行如实告知义务的，保险人对于合同解除前发生的保险事故，不承担赔偿责任，并不退还保险费。</w:t>
      </w:r>
    </w:p>
    <w:p>
      <w:pPr>
        <w:spacing w:line="360" w:lineRule="auto"/>
        <w:rPr>
          <w:rFonts w:hint="eastAsia"/>
          <w:color w:val="auto"/>
          <w:szCs w:val="21"/>
          <w:highlight w:val="none"/>
        </w:rPr>
      </w:pPr>
      <w:r>
        <w:rPr>
          <w:rFonts w:hint="eastAsia"/>
          <w:color w:val="auto"/>
          <w:szCs w:val="21"/>
          <w:highlight w:val="none"/>
        </w:rPr>
        <w:t>投保人因重大过失未履行如实告知义务，对保险事故的发生有严重影响的，保险人对于合同解除前发生的保险事故，不承担赔偿责任，但应当退还保险费。</w:t>
      </w:r>
    </w:p>
    <w:p>
      <w:pPr>
        <w:spacing w:line="360" w:lineRule="auto"/>
        <w:rPr>
          <w:rFonts w:hint="eastAsia"/>
          <w:color w:val="auto"/>
          <w:szCs w:val="21"/>
          <w:highlight w:val="none"/>
        </w:rPr>
      </w:pPr>
      <w:r>
        <w:rPr>
          <w:rFonts w:hint="eastAsia"/>
          <w:color w:val="auto"/>
          <w:szCs w:val="21"/>
          <w:highlight w:val="none"/>
        </w:rPr>
        <w:t>第十七条  除另有约定外，投保人应在保险合同成立时交清保险费。保险费交清前发生的保险事故，保险人不承担赔偿责任。</w:t>
      </w:r>
    </w:p>
    <w:p>
      <w:pPr>
        <w:spacing w:line="360" w:lineRule="auto"/>
        <w:rPr>
          <w:color w:val="auto"/>
          <w:szCs w:val="21"/>
          <w:highlight w:val="none"/>
        </w:rPr>
      </w:pPr>
      <w:r>
        <w:rPr>
          <w:rFonts w:hint="eastAsia"/>
          <w:color w:val="auto"/>
          <w:szCs w:val="21"/>
          <w:highlight w:val="none"/>
        </w:rPr>
        <w:t>第十八条  被保险人应当遵守国家有关消防、安全、生产操作、劳动保护等方面的相关法律、法规及规定，加强管理，采取合理的预防措施，尽力避免或减少责任事故的发生，维护保险标的的安全。保险人可以对被保险人遵守前款约定的情况进行检查，向投保人、被保险人提出消除不安全因素和隐患的书面建议，投保人、被保险人应该认真付诸实施。</w:t>
      </w:r>
    </w:p>
    <w:p>
      <w:pPr>
        <w:spacing w:line="360" w:lineRule="auto"/>
        <w:rPr>
          <w:color w:val="auto"/>
          <w:szCs w:val="21"/>
          <w:highlight w:val="none"/>
        </w:rPr>
      </w:pPr>
      <w:r>
        <w:rPr>
          <w:rFonts w:hint="eastAsia"/>
          <w:color w:val="auto"/>
          <w:szCs w:val="21"/>
          <w:highlight w:val="none"/>
        </w:rPr>
        <w:t>投保人、被保险人未按照约定履行其对保险标的的安全应尽责任的，保险人有权要求增加保险费或者解除合同。</w:t>
      </w:r>
    </w:p>
    <w:p>
      <w:pPr>
        <w:spacing w:line="360" w:lineRule="auto"/>
        <w:rPr>
          <w:color w:val="auto"/>
          <w:szCs w:val="21"/>
          <w:highlight w:val="none"/>
        </w:rPr>
      </w:pPr>
      <w:r>
        <w:rPr>
          <w:rFonts w:hint="eastAsia"/>
          <w:color w:val="auto"/>
          <w:szCs w:val="21"/>
          <w:highlight w:val="none"/>
        </w:rPr>
        <w:t>第十九条保险标的转让的，被保险人或者受让人应当及时通知保险人。</w:t>
      </w:r>
    </w:p>
    <w:p>
      <w:pPr>
        <w:spacing w:line="360" w:lineRule="auto"/>
        <w:rPr>
          <w:color w:val="auto"/>
          <w:szCs w:val="21"/>
          <w:highlight w:val="none"/>
        </w:rPr>
      </w:pPr>
      <w:r>
        <w:rPr>
          <w:rFonts w:hint="eastAsia"/>
          <w:color w:val="auto"/>
          <w:szCs w:val="21"/>
          <w:highlight w:val="none"/>
        </w:rPr>
        <w:t>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spacing w:line="360" w:lineRule="auto"/>
        <w:rPr>
          <w:color w:val="auto"/>
          <w:szCs w:val="21"/>
          <w:highlight w:val="none"/>
        </w:rPr>
      </w:pPr>
      <w:r>
        <w:rPr>
          <w:rFonts w:hint="eastAsia"/>
          <w:color w:val="auto"/>
          <w:szCs w:val="21"/>
          <w:highlight w:val="none"/>
        </w:rPr>
        <w:t>被保险人、受让人未履行本条规定的通知义务的，因转让导致保险标的危险程度显著增加而发生的保险事故，保险人不承担赔偿责任。</w:t>
      </w:r>
    </w:p>
    <w:p>
      <w:pPr>
        <w:spacing w:line="360" w:lineRule="auto"/>
        <w:rPr>
          <w:color w:val="auto"/>
          <w:szCs w:val="21"/>
          <w:highlight w:val="none"/>
        </w:rPr>
      </w:pPr>
      <w:r>
        <w:rPr>
          <w:rFonts w:hint="eastAsia"/>
          <w:color w:val="auto"/>
          <w:szCs w:val="21"/>
          <w:highlight w:val="none"/>
        </w:rPr>
        <w:t>第二十条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pPr>
        <w:spacing w:line="360" w:lineRule="auto"/>
        <w:rPr>
          <w:color w:val="auto"/>
          <w:szCs w:val="21"/>
          <w:highlight w:val="none"/>
        </w:rPr>
      </w:pPr>
      <w:r>
        <w:rPr>
          <w:rFonts w:hint="eastAsia"/>
          <w:color w:val="auto"/>
          <w:szCs w:val="21"/>
          <w:highlight w:val="none"/>
        </w:rPr>
        <w:t>被保险人未履行前款约定的通知义务的，因保险标的的危险程度显著增加而发生的保险事故，保险人不承担赔偿责任。</w:t>
      </w:r>
    </w:p>
    <w:p>
      <w:pPr>
        <w:spacing w:line="360" w:lineRule="auto"/>
        <w:rPr>
          <w:color w:val="auto"/>
          <w:szCs w:val="21"/>
          <w:highlight w:val="none"/>
        </w:rPr>
      </w:pPr>
      <w:r>
        <w:rPr>
          <w:rFonts w:hint="eastAsia"/>
          <w:color w:val="auto"/>
          <w:szCs w:val="21"/>
          <w:highlight w:val="none"/>
        </w:rPr>
        <w:t>第二十一条  知道保险事故发生后，被保险人应该：</w:t>
      </w:r>
    </w:p>
    <w:p>
      <w:pPr>
        <w:spacing w:line="360" w:lineRule="auto"/>
        <w:rPr>
          <w:color w:val="auto"/>
          <w:szCs w:val="21"/>
          <w:highlight w:val="none"/>
        </w:rPr>
      </w:pPr>
      <w:r>
        <w:rPr>
          <w:rFonts w:hint="eastAsia"/>
          <w:color w:val="auto"/>
          <w:szCs w:val="21"/>
          <w:highlight w:val="none"/>
        </w:rPr>
        <w:t>（一）尽力采取必要、合理的措施，防止或减少损失，否则，对因此扩大的损失，保险人不承担赔偿责任；</w:t>
      </w:r>
    </w:p>
    <w:p>
      <w:pPr>
        <w:spacing w:line="360" w:lineRule="auto"/>
        <w:rPr>
          <w:color w:val="auto"/>
          <w:szCs w:val="21"/>
          <w:highlight w:val="none"/>
        </w:rPr>
      </w:pPr>
      <w:r>
        <w:rPr>
          <w:rFonts w:hint="eastAsia"/>
          <w:color w:val="auto"/>
          <w:szCs w:val="21"/>
          <w:highlight w:val="none"/>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spacing w:line="360" w:lineRule="auto"/>
        <w:rPr>
          <w:color w:val="auto"/>
          <w:szCs w:val="21"/>
          <w:highlight w:val="none"/>
        </w:rPr>
      </w:pPr>
      <w:r>
        <w:rPr>
          <w:rFonts w:hint="eastAsia"/>
          <w:color w:val="auto"/>
          <w:szCs w:val="21"/>
          <w:highlight w:val="none"/>
        </w:rPr>
        <w:t>（三）保护事故现场，允许并且协助保险人进行事故调查；对于拒绝或者妨碍保险人进行事故调查导致无法确定事故原因或核实损失情况的，保险人对无法核实的部分不承担赔偿责任。</w:t>
      </w:r>
    </w:p>
    <w:p>
      <w:pPr>
        <w:spacing w:line="360" w:lineRule="auto"/>
        <w:rPr>
          <w:color w:val="auto"/>
          <w:szCs w:val="21"/>
          <w:highlight w:val="none"/>
        </w:rPr>
      </w:pPr>
      <w:r>
        <w:rPr>
          <w:rFonts w:hint="eastAsia"/>
          <w:color w:val="auto"/>
          <w:szCs w:val="21"/>
          <w:highlight w:val="none"/>
        </w:rPr>
        <w:t>第二十二条  被保险人请求赔偿时，应向保险人提供下列证明和资料：</w:t>
      </w:r>
    </w:p>
    <w:p>
      <w:pPr>
        <w:spacing w:line="360" w:lineRule="auto"/>
        <w:rPr>
          <w:color w:val="auto"/>
          <w:szCs w:val="21"/>
          <w:highlight w:val="none"/>
        </w:rPr>
      </w:pPr>
      <w:r>
        <w:rPr>
          <w:rFonts w:hint="eastAsia"/>
          <w:color w:val="auto"/>
          <w:szCs w:val="21"/>
          <w:highlight w:val="none"/>
        </w:rPr>
        <w:t>（一）保险单正本、索赔申请、财产损失清单、技术鉴定证明、事故报告书、救护费用发票、必要的账簿、单据和有关部门的证明；</w:t>
      </w:r>
    </w:p>
    <w:p>
      <w:pPr>
        <w:spacing w:line="360" w:lineRule="auto"/>
        <w:rPr>
          <w:color w:val="auto"/>
          <w:szCs w:val="21"/>
          <w:highlight w:val="none"/>
        </w:rPr>
      </w:pPr>
      <w:r>
        <w:rPr>
          <w:rFonts w:hint="eastAsia"/>
          <w:color w:val="auto"/>
          <w:szCs w:val="21"/>
          <w:highlight w:val="none"/>
        </w:rPr>
        <w:t>（二）投保人、被保险人所能提供的与确认保险事故的性质、原因、损失程度等有关的其他证明和资料。</w:t>
      </w:r>
    </w:p>
    <w:p>
      <w:pPr>
        <w:spacing w:line="360" w:lineRule="auto"/>
        <w:rPr>
          <w:color w:val="auto"/>
          <w:szCs w:val="21"/>
          <w:highlight w:val="none"/>
        </w:rPr>
      </w:pPr>
      <w:r>
        <w:rPr>
          <w:rFonts w:hint="eastAsia"/>
          <w:color w:val="auto"/>
          <w:szCs w:val="21"/>
          <w:highlight w:val="none"/>
        </w:rPr>
        <w:t>投保人、被保险人未履行前款约定的单证提供义务，导致保险人无法核实损失情况的，保险人对无法核实的部分不承担赔偿责任。</w:t>
      </w:r>
    </w:p>
    <w:p>
      <w:pPr>
        <w:pStyle w:val="12"/>
        <w:jc w:val="center"/>
        <w:rPr>
          <w:b/>
          <w:color w:val="auto"/>
          <w:highlight w:val="none"/>
        </w:rPr>
      </w:pPr>
      <w:r>
        <w:rPr>
          <w:rFonts w:hint="eastAsia"/>
          <w:b/>
          <w:color w:val="auto"/>
          <w:highlight w:val="none"/>
        </w:rPr>
        <w:t>赔偿处理</w:t>
      </w:r>
    </w:p>
    <w:p>
      <w:pPr>
        <w:spacing w:line="360" w:lineRule="auto"/>
        <w:rPr>
          <w:color w:val="auto"/>
          <w:szCs w:val="21"/>
          <w:highlight w:val="none"/>
        </w:rPr>
      </w:pPr>
      <w:r>
        <w:rPr>
          <w:rFonts w:hint="eastAsia"/>
          <w:color w:val="auto"/>
          <w:szCs w:val="21"/>
          <w:highlight w:val="none"/>
        </w:rPr>
        <w:t>第二十三条保险事故发生时，被保险人对保险标的不具有保险利益的，不得向保险人请求赔偿保险金。</w:t>
      </w:r>
    </w:p>
    <w:p>
      <w:pPr>
        <w:spacing w:line="360" w:lineRule="auto"/>
        <w:rPr>
          <w:color w:val="auto"/>
          <w:szCs w:val="21"/>
          <w:highlight w:val="none"/>
        </w:rPr>
      </w:pPr>
      <w:r>
        <w:rPr>
          <w:rFonts w:hint="eastAsia"/>
          <w:color w:val="auto"/>
          <w:szCs w:val="21"/>
          <w:highlight w:val="none"/>
        </w:rPr>
        <w:t>第二十四条  保险标的发生保险责任范围内的损失，保险人有权选择下列方式赔偿：</w:t>
      </w:r>
    </w:p>
    <w:p>
      <w:pPr>
        <w:spacing w:line="360" w:lineRule="auto"/>
        <w:rPr>
          <w:color w:val="auto"/>
          <w:szCs w:val="21"/>
          <w:highlight w:val="none"/>
        </w:rPr>
      </w:pPr>
      <w:r>
        <w:rPr>
          <w:rFonts w:hint="eastAsia"/>
          <w:color w:val="auto"/>
          <w:szCs w:val="21"/>
          <w:highlight w:val="none"/>
        </w:rPr>
        <w:t>（一）货币赔偿：保险人以支付保险金的方式赔偿；</w:t>
      </w:r>
    </w:p>
    <w:p>
      <w:pPr>
        <w:spacing w:line="360" w:lineRule="auto"/>
        <w:rPr>
          <w:color w:val="auto"/>
          <w:szCs w:val="21"/>
          <w:highlight w:val="none"/>
        </w:rPr>
      </w:pPr>
      <w:r>
        <w:rPr>
          <w:rFonts w:hint="eastAsia"/>
          <w:color w:val="auto"/>
          <w:szCs w:val="21"/>
          <w:highlight w:val="none"/>
        </w:rPr>
        <w:t>（二）实物赔偿：保险人以实物替换受损标的，该实物应具有保险标的出险前同等的类型、结构、状态和性能；</w:t>
      </w:r>
    </w:p>
    <w:p>
      <w:pPr>
        <w:spacing w:line="360" w:lineRule="auto"/>
        <w:rPr>
          <w:color w:val="auto"/>
          <w:szCs w:val="21"/>
          <w:highlight w:val="none"/>
        </w:rPr>
      </w:pPr>
      <w:r>
        <w:rPr>
          <w:rFonts w:hint="eastAsia"/>
          <w:color w:val="auto"/>
          <w:szCs w:val="21"/>
          <w:highlight w:val="none"/>
        </w:rPr>
        <w:t>（三）实际修复：保险人自行或委托他人修理修复受损标的。</w:t>
      </w:r>
    </w:p>
    <w:p>
      <w:pPr>
        <w:spacing w:line="360" w:lineRule="auto"/>
        <w:rPr>
          <w:color w:val="auto"/>
          <w:szCs w:val="21"/>
          <w:highlight w:val="none"/>
        </w:rPr>
      </w:pPr>
      <w:r>
        <w:rPr>
          <w:rFonts w:hint="eastAsia"/>
          <w:color w:val="auto"/>
          <w:szCs w:val="21"/>
          <w:highlight w:val="none"/>
        </w:rPr>
        <w:t>对保险标的在修复或替换过程中，被保险人进行的任何变更、性能增加或改进所产生的额外费用，保险人不负责赔偿。</w:t>
      </w:r>
    </w:p>
    <w:p>
      <w:pPr>
        <w:spacing w:line="360" w:lineRule="auto"/>
        <w:rPr>
          <w:rFonts w:hint="eastAsia"/>
          <w:color w:val="auto"/>
          <w:szCs w:val="21"/>
          <w:highlight w:val="none"/>
        </w:rPr>
      </w:pPr>
      <w:r>
        <w:rPr>
          <w:rFonts w:hint="eastAsia"/>
          <w:color w:val="auto"/>
          <w:szCs w:val="21"/>
          <w:highlight w:val="none"/>
        </w:rPr>
        <w:t>第二十五条  保险标的遭受损失后，如果有残余价值，应由双方协商处理。如折归被保险人，由双方协商确定其价值，并在保险赔款中扣除。</w:t>
      </w:r>
    </w:p>
    <w:p>
      <w:pPr>
        <w:spacing w:line="360" w:lineRule="auto"/>
        <w:rPr>
          <w:color w:val="auto"/>
          <w:szCs w:val="21"/>
          <w:highlight w:val="none"/>
        </w:rPr>
      </w:pPr>
      <w:r>
        <w:rPr>
          <w:rFonts w:hint="eastAsia"/>
          <w:color w:val="auto"/>
          <w:szCs w:val="21"/>
          <w:highlight w:val="none"/>
        </w:rPr>
        <w:t xml:space="preserve">第二十六条  保险标的发生保险责任范围内的损失，保险人按以下方式计算赔偿： </w:t>
      </w:r>
    </w:p>
    <w:p>
      <w:pPr>
        <w:spacing w:line="360" w:lineRule="auto"/>
        <w:rPr>
          <w:color w:val="auto"/>
          <w:szCs w:val="21"/>
          <w:highlight w:val="none"/>
        </w:rPr>
      </w:pPr>
      <w:r>
        <w:rPr>
          <w:rFonts w:hint="eastAsia"/>
          <w:color w:val="auto"/>
          <w:szCs w:val="21"/>
          <w:highlight w:val="none"/>
        </w:rPr>
        <w:t xml:space="preserve">    （一）部分损失以将被保险机器设备修复至其基本恢复受损前状态的费用金额为准，如残值折归被保险人，则按双方协商确定的价值，在上述费用金额中扣除；</w:t>
      </w:r>
    </w:p>
    <w:p>
      <w:pPr>
        <w:spacing w:line="360" w:lineRule="auto"/>
        <w:rPr>
          <w:color w:val="auto"/>
          <w:szCs w:val="21"/>
          <w:highlight w:val="none"/>
        </w:rPr>
      </w:pPr>
      <w:r>
        <w:rPr>
          <w:rFonts w:hint="eastAsia"/>
          <w:color w:val="auto"/>
          <w:szCs w:val="21"/>
          <w:highlight w:val="none"/>
        </w:rPr>
        <w:t xml:space="preserve">    （二）全部损失或推定全损以保险机器设备损失前的实际价值为准，如残值折归被保险人，则按双方协商确定的价值，在上述费用金额中扣除；</w:t>
      </w:r>
    </w:p>
    <w:p>
      <w:pPr>
        <w:spacing w:line="360" w:lineRule="auto"/>
        <w:rPr>
          <w:color w:val="auto"/>
          <w:szCs w:val="21"/>
          <w:highlight w:val="none"/>
        </w:rPr>
      </w:pPr>
      <w:r>
        <w:rPr>
          <w:rFonts w:hint="eastAsia"/>
          <w:color w:val="auto"/>
          <w:szCs w:val="21"/>
          <w:highlight w:val="none"/>
        </w:rPr>
        <w:t xml:space="preserve">    （三）任何属于成对或成套的设备项目，若发生损失，保险人的赔偿责任不超过该受损项目在所属整对或整套设备项目的保险金额中所占的比例；</w:t>
      </w:r>
    </w:p>
    <w:p>
      <w:pPr>
        <w:spacing w:line="360" w:lineRule="auto"/>
        <w:rPr>
          <w:color w:val="auto"/>
          <w:szCs w:val="21"/>
          <w:highlight w:val="none"/>
        </w:rPr>
      </w:pPr>
      <w:r>
        <w:rPr>
          <w:rFonts w:hint="eastAsia"/>
          <w:color w:val="auto"/>
          <w:szCs w:val="21"/>
          <w:highlight w:val="none"/>
        </w:rPr>
        <w:t>（四）发生保险事故时，若受损保险标的的分项或总保险金额低于重置价值时，其差额部分视为被保险人所自保，保险人则按本保险合同中列明的保险金额与对应的重置价值的比例负责赔偿。如保险机器多于一项时，每一项将按照本保险合同规定的分项保险金额单独计算比例赔偿的责任。</w:t>
      </w:r>
    </w:p>
    <w:p>
      <w:pPr>
        <w:spacing w:line="360" w:lineRule="auto"/>
        <w:rPr>
          <w:color w:val="auto"/>
          <w:szCs w:val="21"/>
          <w:highlight w:val="none"/>
        </w:rPr>
      </w:pPr>
      <w:r>
        <w:rPr>
          <w:rFonts w:hint="eastAsia"/>
          <w:color w:val="auto"/>
          <w:szCs w:val="21"/>
          <w:highlight w:val="none"/>
        </w:rPr>
        <w:t>第二十七条  发生保险事故后，被保险人为减少损失而采取必要措施所产生的合理费用，保险人也予以赔偿，但本项费用以被施救保险机器设备的保险金额为限。</w:t>
      </w:r>
    </w:p>
    <w:p>
      <w:pPr>
        <w:spacing w:line="360" w:lineRule="auto"/>
        <w:rPr>
          <w:rFonts w:hint="eastAsia"/>
          <w:color w:val="auto"/>
          <w:szCs w:val="21"/>
          <w:highlight w:val="none"/>
        </w:rPr>
      </w:pPr>
      <w:r>
        <w:rPr>
          <w:rFonts w:hint="eastAsia"/>
          <w:color w:val="auto"/>
          <w:szCs w:val="21"/>
          <w:highlight w:val="none"/>
        </w:rPr>
        <w:t>被施救的财产中，含有本保险合同未承保财产的，按被施救保险标的的重置价值与全部被施救财产价值的比例分摊施救费用。</w:t>
      </w:r>
    </w:p>
    <w:p>
      <w:pPr>
        <w:spacing w:line="360" w:lineRule="auto"/>
        <w:rPr>
          <w:rFonts w:hint="eastAsia"/>
          <w:color w:val="auto"/>
          <w:szCs w:val="21"/>
          <w:highlight w:val="none"/>
        </w:rPr>
      </w:pPr>
      <w:r>
        <w:rPr>
          <w:rFonts w:hint="eastAsia"/>
          <w:color w:val="auto"/>
          <w:szCs w:val="21"/>
          <w:highlight w:val="none"/>
        </w:rPr>
        <w:t>第二十八条  每次事故保险人的赔偿金额为根据第二十六条、第二十七条约定计算的金额扣除每次事故免赔额后的金额，或者为根据第二十六条、第二十七条约定计算的金额扣除该金额与免赔率乘积后的金额。</w:t>
      </w:r>
    </w:p>
    <w:p>
      <w:pPr>
        <w:spacing w:line="360" w:lineRule="auto"/>
        <w:rPr>
          <w:color w:val="auto"/>
          <w:szCs w:val="21"/>
          <w:highlight w:val="none"/>
        </w:rPr>
      </w:pPr>
      <w:r>
        <w:rPr>
          <w:rFonts w:hint="eastAsia"/>
          <w:color w:val="auto"/>
          <w:szCs w:val="21"/>
          <w:highlight w:val="none"/>
        </w:rPr>
        <w:t>第二十九条  保险事故发生时，如果存在重复保险，保险人按照本保险合同的相应保险金额与其他保险合同及本保险合同相应保险金额总和的比例承担赔偿责任。</w:t>
      </w:r>
    </w:p>
    <w:p>
      <w:pPr>
        <w:spacing w:line="360" w:lineRule="auto"/>
        <w:rPr>
          <w:color w:val="auto"/>
          <w:szCs w:val="21"/>
          <w:highlight w:val="none"/>
        </w:rPr>
      </w:pPr>
      <w:r>
        <w:rPr>
          <w:rFonts w:hint="eastAsia"/>
          <w:color w:val="auto"/>
          <w:szCs w:val="21"/>
          <w:highlight w:val="none"/>
        </w:rPr>
        <w:t>其他保险人应承担的赔偿金额，本保险人不负责垫付。若被保险人未如实告知导致保险人多支付赔偿金的，保险人有权向被保险人追回多支付的部分。</w:t>
      </w:r>
    </w:p>
    <w:p>
      <w:pPr>
        <w:spacing w:line="360" w:lineRule="auto"/>
        <w:rPr>
          <w:color w:val="auto"/>
          <w:szCs w:val="21"/>
          <w:highlight w:val="none"/>
        </w:rPr>
      </w:pPr>
      <w:r>
        <w:rPr>
          <w:rFonts w:hint="eastAsia"/>
          <w:color w:val="auto"/>
          <w:szCs w:val="21"/>
          <w:highlight w:val="none"/>
        </w:rPr>
        <w:t>第三十条  保险标的发生部分损失，保险人履行赔偿义务后，本保险合同的保险金额自损失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pPr>
        <w:spacing w:line="360" w:lineRule="auto"/>
        <w:rPr>
          <w:color w:val="auto"/>
          <w:szCs w:val="21"/>
          <w:highlight w:val="none"/>
        </w:rPr>
      </w:pPr>
      <w:r>
        <w:rPr>
          <w:rFonts w:hint="eastAsia"/>
          <w:color w:val="auto"/>
          <w:szCs w:val="21"/>
          <w:highlight w:val="none"/>
        </w:rPr>
        <w:t>第三十一条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spacing w:line="360" w:lineRule="auto"/>
        <w:rPr>
          <w:color w:val="auto"/>
          <w:szCs w:val="21"/>
          <w:highlight w:val="none"/>
        </w:rPr>
      </w:pPr>
      <w:r>
        <w:rPr>
          <w:rFonts w:hint="eastAsia"/>
          <w:color w:val="auto"/>
          <w:szCs w:val="21"/>
          <w:highlight w:val="none"/>
        </w:rPr>
        <w:t>被保险人已经从有关责任方取得赔偿的，保险人赔偿保险金时，可以相应扣减被保险人已从有关责任方取得的赔偿金额。</w:t>
      </w:r>
    </w:p>
    <w:p>
      <w:pPr>
        <w:spacing w:line="360" w:lineRule="auto"/>
        <w:rPr>
          <w:color w:val="auto"/>
          <w:szCs w:val="21"/>
          <w:highlight w:val="none"/>
        </w:rPr>
      </w:pPr>
      <w:r>
        <w:rPr>
          <w:rFonts w:hint="eastAsia"/>
          <w:color w:val="auto"/>
          <w:szCs w:val="21"/>
          <w:highlight w:val="none"/>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spacing w:line="360" w:lineRule="auto"/>
        <w:rPr>
          <w:color w:val="auto"/>
          <w:szCs w:val="21"/>
          <w:highlight w:val="none"/>
        </w:rPr>
      </w:pPr>
      <w:r>
        <w:rPr>
          <w:rFonts w:hint="eastAsia"/>
          <w:color w:val="auto"/>
          <w:szCs w:val="21"/>
          <w:highlight w:val="none"/>
        </w:rPr>
        <w:t>第三十二条被保险人向保险人请求赔偿保险金的诉讼时效期间为二年，自其知道或者应当知道保险事故发生之日起计算。 </w:t>
      </w:r>
    </w:p>
    <w:p>
      <w:pPr>
        <w:pStyle w:val="12"/>
        <w:jc w:val="center"/>
        <w:rPr>
          <w:b/>
          <w:color w:val="auto"/>
          <w:highlight w:val="none"/>
        </w:rPr>
      </w:pPr>
      <w:r>
        <w:rPr>
          <w:rFonts w:hint="eastAsia"/>
          <w:b/>
          <w:color w:val="auto"/>
          <w:highlight w:val="none"/>
        </w:rPr>
        <w:t>争议处理和法律适用</w:t>
      </w:r>
    </w:p>
    <w:p>
      <w:pPr>
        <w:spacing w:line="360" w:lineRule="auto"/>
        <w:rPr>
          <w:color w:val="auto"/>
          <w:szCs w:val="21"/>
          <w:highlight w:val="none"/>
        </w:rPr>
      </w:pPr>
      <w:r>
        <w:rPr>
          <w:rFonts w:hint="eastAsia"/>
          <w:color w:val="auto"/>
          <w:szCs w:val="21"/>
          <w:highlight w:val="none"/>
        </w:rPr>
        <w:t>第三十三条  因履行本保险合同发生的争议，由当事人协商解决。协商不成的，提交保险单载明的仲裁机构仲裁；保险单未载明仲裁机构且争议发生后未达成仲裁协议的，依法向人民法院起诉。</w:t>
      </w:r>
    </w:p>
    <w:p>
      <w:pPr>
        <w:spacing w:line="360" w:lineRule="auto"/>
        <w:rPr>
          <w:color w:val="auto"/>
          <w:szCs w:val="21"/>
          <w:highlight w:val="none"/>
        </w:rPr>
      </w:pPr>
      <w:r>
        <w:rPr>
          <w:rFonts w:hint="eastAsia"/>
          <w:color w:val="auto"/>
          <w:szCs w:val="21"/>
          <w:highlight w:val="none"/>
        </w:rPr>
        <w:t>第三十四条  与本保险合同有关的以及履行本保险合同产生的一切争议，适用中华人民共和国法律（不包括港澳台地区法律）。</w:t>
      </w:r>
    </w:p>
    <w:p>
      <w:pPr>
        <w:pStyle w:val="12"/>
        <w:jc w:val="center"/>
        <w:rPr>
          <w:b/>
          <w:color w:val="auto"/>
          <w:highlight w:val="none"/>
        </w:rPr>
      </w:pPr>
      <w:r>
        <w:rPr>
          <w:rFonts w:hint="eastAsia"/>
          <w:b/>
          <w:color w:val="auto"/>
          <w:highlight w:val="none"/>
        </w:rPr>
        <w:t>其他事项</w:t>
      </w:r>
    </w:p>
    <w:p>
      <w:pPr>
        <w:spacing w:line="360" w:lineRule="auto"/>
        <w:rPr>
          <w:color w:val="auto"/>
          <w:szCs w:val="21"/>
          <w:highlight w:val="none"/>
        </w:rPr>
      </w:pPr>
      <w:r>
        <w:rPr>
          <w:rFonts w:hint="eastAsia"/>
          <w:color w:val="auto"/>
          <w:szCs w:val="21"/>
          <w:highlight w:val="none"/>
        </w:rPr>
        <w:t>第三十五条保险标的发生部分损失的，自保险人赔偿之日起三十日内，投保人可以解除合同；除合同另有约定外，保险人也可以解除合同，但应当提前十五日通知投保人。 </w:t>
      </w:r>
      <w:r>
        <w:rPr>
          <w:rFonts w:hint="eastAsia"/>
          <w:color w:val="auto"/>
          <w:szCs w:val="21"/>
          <w:highlight w:val="none"/>
        </w:rPr>
        <w:br w:type="textWrapping"/>
      </w:r>
      <w:r>
        <w:rPr>
          <w:rFonts w:hint="eastAsia"/>
          <w:color w:val="auto"/>
          <w:szCs w:val="21"/>
          <w:highlight w:val="none"/>
        </w:rPr>
        <w:t xml:space="preserve">    保险合同依据前款规定解除的，保险人应当将保险标的未受损失部分的保险费，按照合同约定扣除自保险责任开始之日起至合同解除之日止应收的部分后，退还投保人。</w:t>
      </w:r>
    </w:p>
    <w:p>
      <w:pPr>
        <w:spacing w:line="360" w:lineRule="auto"/>
        <w:rPr>
          <w:color w:val="auto"/>
          <w:szCs w:val="21"/>
          <w:highlight w:val="none"/>
        </w:rPr>
      </w:pPr>
      <w:r>
        <w:rPr>
          <w:rFonts w:hint="eastAsia"/>
          <w:color w:val="auto"/>
          <w:szCs w:val="21"/>
          <w:highlight w:val="none"/>
        </w:rPr>
        <w:t>第三十六条保险责任开始前，投保人要求解除保险合同的，应当按本保险合同的约定向保险人支付退保手续费，保险人应当退还剩余部分保险费。</w:t>
      </w:r>
    </w:p>
    <w:p>
      <w:pPr>
        <w:spacing w:line="360" w:lineRule="auto"/>
        <w:rPr>
          <w:color w:val="auto"/>
          <w:szCs w:val="21"/>
          <w:highlight w:val="none"/>
        </w:rPr>
      </w:pPr>
      <w:r>
        <w:rPr>
          <w:rFonts w:hint="eastAsia"/>
          <w:color w:val="auto"/>
          <w:szCs w:val="21"/>
          <w:highlight w:val="none"/>
        </w:rPr>
        <w:t>保险责任开始后，投保人要求解除保险合同的，自通知保险人之日起，保险合同解除，保险人按短期费率计收保险责任开始之日起至合同解除之日止期间的保险费，并退还剩余部分保险费。</w:t>
      </w:r>
    </w:p>
    <w:p>
      <w:pPr>
        <w:spacing w:line="360" w:lineRule="auto"/>
        <w:rPr>
          <w:color w:val="auto"/>
          <w:szCs w:val="21"/>
          <w:highlight w:val="none"/>
        </w:rPr>
      </w:pPr>
      <w:r>
        <w:rPr>
          <w:rFonts w:hint="eastAsia"/>
          <w:color w:val="auto"/>
          <w:szCs w:val="21"/>
          <w:highlight w:val="none"/>
        </w:rPr>
        <w:t>保险责任开始后，保险人要求解除保险合同的，可提前十五日向投保人发出解约通知书解除本保险合同，保险人按照保险责任开始之日起至合同解除之日止期间与保险期间的日比例计收保险费，并退还剩余部分保险费。</w:t>
      </w:r>
    </w:p>
    <w:p>
      <w:pPr>
        <w:spacing w:line="360" w:lineRule="auto"/>
        <w:rPr>
          <w:color w:val="auto"/>
          <w:szCs w:val="21"/>
          <w:highlight w:val="none"/>
        </w:rPr>
      </w:pPr>
      <w:r>
        <w:rPr>
          <w:rFonts w:hint="eastAsia"/>
          <w:color w:val="auto"/>
          <w:szCs w:val="21"/>
          <w:highlight w:val="none"/>
        </w:rPr>
        <w:t xml:space="preserve">第三十七条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    </w:t>
      </w:r>
    </w:p>
    <w:p>
      <w:pPr>
        <w:pStyle w:val="12"/>
        <w:jc w:val="center"/>
        <w:rPr>
          <w:b/>
          <w:color w:val="auto"/>
          <w:highlight w:val="none"/>
        </w:rPr>
      </w:pPr>
      <w:r>
        <w:rPr>
          <w:rFonts w:hint="eastAsia"/>
          <w:b/>
          <w:color w:val="auto"/>
          <w:highlight w:val="none"/>
        </w:rPr>
        <w:t>释义</w:t>
      </w:r>
    </w:p>
    <w:p>
      <w:pPr>
        <w:spacing w:line="360" w:lineRule="auto"/>
        <w:rPr>
          <w:color w:val="auto"/>
          <w:szCs w:val="21"/>
          <w:highlight w:val="none"/>
        </w:rPr>
      </w:pPr>
      <w:r>
        <w:rPr>
          <w:rFonts w:hint="eastAsia"/>
          <w:color w:val="auto"/>
          <w:szCs w:val="21"/>
          <w:highlight w:val="none"/>
        </w:rPr>
        <w:t>第三十八条  本保险合同涉及下列术语时，适用下列释义：</w:t>
      </w:r>
    </w:p>
    <w:p>
      <w:pPr>
        <w:spacing w:line="360" w:lineRule="auto"/>
        <w:rPr>
          <w:color w:val="auto"/>
          <w:szCs w:val="21"/>
          <w:highlight w:val="none"/>
        </w:rPr>
      </w:pPr>
      <w:r>
        <w:rPr>
          <w:rFonts w:hint="eastAsia"/>
          <w:color w:val="auto"/>
          <w:szCs w:val="21"/>
          <w:highlight w:val="none"/>
        </w:rPr>
        <w:t>（一）火灾</w:t>
      </w:r>
    </w:p>
    <w:p>
      <w:pPr>
        <w:spacing w:line="360" w:lineRule="auto"/>
        <w:rPr>
          <w:color w:val="auto"/>
          <w:szCs w:val="21"/>
          <w:highlight w:val="none"/>
        </w:rPr>
      </w:pPr>
      <w:r>
        <w:rPr>
          <w:rFonts w:hint="eastAsia"/>
          <w:color w:val="auto"/>
          <w:szCs w:val="21"/>
          <w:highlight w:val="none"/>
        </w:rPr>
        <w:t xml:space="preserve"> 在时间或空间上失去控制的燃烧所造成的灾害。构成本保险的火灾责任必须同时具备以下三个条件：</w:t>
      </w:r>
    </w:p>
    <w:p>
      <w:pPr>
        <w:spacing w:line="360" w:lineRule="auto"/>
        <w:rPr>
          <w:color w:val="auto"/>
          <w:szCs w:val="21"/>
          <w:highlight w:val="none"/>
        </w:rPr>
      </w:pPr>
      <w:r>
        <w:rPr>
          <w:rFonts w:hint="eastAsia"/>
          <w:color w:val="auto"/>
          <w:szCs w:val="21"/>
          <w:highlight w:val="none"/>
        </w:rPr>
        <w:t xml:space="preserve"> 1、有燃烧现象，即有热有光有火焰；</w:t>
      </w:r>
    </w:p>
    <w:p>
      <w:pPr>
        <w:spacing w:line="360" w:lineRule="auto"/>
        <w:rPr>
          <w:color w:val="auto"/>
          <w:szCs w:val="21"/>
          <w:highlight w:val="none"/>
        </w:rPr>
      </w:pPr>
      <w:r>
        <w:rPr>
          <w:rFonts w:hint="eastAsia"/>
          <w:color w:val="auto"/>
          <w:szCs w:val="21"/>
          <w:highlight w:val="none"/>
        </w:rPr>
        <w:t xml:space="preserve"> 2、偶然、意外发生的燃烧；</w:t>
      </w:r>
    </w:p>
    <w:p>
      <w:pPr>
        <w:spacing w:line="360" w:lineRule="auto"/>
        <w:rPr>
          <w:color w:val="auto"/>
          <w:szCs w:val="21"/>
          <w:highlight w:val="none"/>
        </w:rPr>
      </w:pPr>
      <w:r>
        <w:rPr>
          <w:rFonts w:hint="eastAsia"/>
          <w:color w:val="auto"/>
          <w:szCs w:val="21"/>
          <w:highlight w:val="none"/>
        </w:rPr>
        <w:t xml:space="preserve"> 3、燃烧失去控制并有蔓延扩大的趋势。</w:t>
      </w:r>
    </w:p>
    <w:p>
      <w:pPr>
        <w:spacing w:line="360" w:lineRule="auto"/>
        <w:rPr>
          <w:color w:val="auto"/>
          <w:szCs w:val="21"/>
          <w:highlight w:val="none"/>
        </w:rPr>
      </w:pPr>
      <w:r>
        <w:rPr>
          <w:rFonts w:hint="eastAsia"/>
          <w:color w:val="auto"/>
          <w:szCs w:val="21"/>
          <w:highlight w:val="none"/>
        </w:rPr>
        <w:t xml:space="preserve"> 因此，仅有燃烧现象并不等于构成本保险中的火灾责任。在生产、生活中有目的用火，如为了防疫而焚毁玷污的衣物，点火烧荒等属正常燃烧，不同于火灾责任。</w:t>
      </w:r>
    </w:p>
    <w:p>
      <w:pPr>
        <w:spacing w:line="360" w:lineRule="auto"/>
        <w:rPr>
          <w:color w:val="auto"/>
          <w:szCs w:val="21"/>
          <w:highlight w:val="none"/>
        </w:rPr>
      </w:pPr>
      <w:r>
        <w:rPr>
          <w:rFonts w:hint="eastAsia"/>
          <w:color w:val="auto"/>
          <w:szCs w:val="21"/>
          <w:highlight w:val="none"/>
        </w:rPr>
        <w:t>因烘、烤、烫、烙造成焦糊变质等损失，既无燃烧现象，又无蔓延扩大趋势，也不属于火灾责任。</w:t>
      </w:r>
    </w:p>
    <w:p>
      <w:pPr>
        <w:spacing w:line="360" w:lineRule="auto"/>
        <w:rPr>
          <w:color w:val="auto"/>
          <w:szCs w:val="21"/>
          <w:highlight w:val="none"/>
        </w:rPr>
      </w:pPr>
      <w:r>
        <w:rPr>
          <w:rFonts w:hint="eastAsia"/>
          <w:color w:val="auto"/>
          <w:szCs w:val="21"/>
          <w:highlight w:val="none"/>
        </w:rPr>
        <w:t>电机、电器、电气设备因使用过度、超电压、碰线、孤花、漏电、自身发热所造成的本身损毁，不属于火灾责任。但如果发生了燃烧并失去控制蔓延扩大，才构成火灾责任，并对电机、电器、电气设备本身的损失负责赔偿。</w:t>
      </w:r>
    </w:p>
    <w:p>
      <w:pPr>
        <w:spacing w:line="360" w:lineRule="auto"/>
        <w:rPr>
          <w:color w:val="auto"/>
          <w:szCs w:val="21"/>
          <w:highlight w:val="none"/>
        </w:rPr>
      </w:pPr>
      <w:r>
        <w:rPr>
          <w:rFonts w:hint="eastAsia"/>
          <w:color w:val="auto"/>
          <w:szCs w:val="21"/>
          <w:highlight w:val="none"/>
        </w:rPr>
        <w:t xml:space="preserve"> （二）爆炸</w:t>
      </w:r>
    </w:p>
    <w:p>
      <w:pPr>
        <w:spacing w:line="360" w:lineRule="auto"/>
        <w:rPr>
          <w:color w:val="auto"/>
          <w:szCs w:val="21"/>
          <w:highlight w:val="none"/>
        </w:rPr>
      </w:pPr>
      <w:r>
        <w:rPr>
          <w:rFonts w:hint="eastAsia"/>
          <w:color w:val="auto"/>
          <w:szCs w:val="21"/>
          <w:highlight w:val="none"/>
        </w:rPr>
        <w:t>爆炸分物理性爆炸和化学性爆炸。</w:t>
      </w:r>
    </w:p>
    <w:p>
      <w:pPr>
        <w:spacing w:line="360" w:lineRule="auto"/>
        <w:rPr>
          <w:color w:val="auto"/>
          <w:szCs w:val="21"/>
          <w:highlight w:val="none"/>
        </w:rPr>
      </w:pPr>
      <w:r>
        <w:rPr>
          <w:rFonts w:hint="eastAsia"/>
          <w:color w:val="auto"/>
          <w:szCs w:val="21"/>
          <w:highlight w:val="none"/>
        </w:rPr>
        <w:t>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pPr>
        <w:spacing w:line="360" w:lineRule="auto"/>
        <w:rPr>
          <w:color w:val="auto"/>
          <w:szCs w:val="21"/>
          <w:highlight w:val="none"/>
        </w:rPr>
      </w:pPr>
      <w:r>
        <w:rPr>
          <w:rFonts w:hint="eastAsia"/>
          <w:color w:val="auto"/>
          <w:szCs w:val="21"/>
          <w:highlight w:val="none"/>
        </w:rPr>
        <w:t>2、化学性爆炸：物体在瞬息分解或燃烧时放出大量的热和气体，并以很大的压力向四周扩散的现象。如火药爆炸、可燃性粉尘纤维爆炸、可燃气体爆炸及各种化学物品的爆炸等。</w:t>
      </w:r>
    </w:p>
    <w:p>
      <w:pPr>
        <w:spacing w:line="360" w:lineRule="auto"/>
        <w:rPr>
          <w:color w:val="auto"/>
          <w:szCs w:val="21"/>
          <w:highlight w:val="none"/>
        </w:rPr>
      </w:pPr>
      <w:r>
        <w:rPr>
          <w:rFonts w:hint="eastAsia"/>
          <w:color w:val="auto"/>
          <w:szCs w:val="21"/>
          <w:highlight w:val="none"/>
        </w:rPr>
        <w:t>因物体本身的瑕疵，使用损耗或产品质量低劣以及由于容器内部承受“负压’（内压比外压小）造成的损失，不属于爆炸责任。</w:t>
      </w:r>
    </w:p>
    <w:p>
      <w:pPr>
        <w:spacing w:line="360" w:lineRule="auto"/>
        <w:rPr>
          <w:color w:val="auto"/>
          <w:szCs w:val="21"/>
          <w:highlight w:val="none"/>
        </w:rPr>
      </w:pPr>
      <w:r>
        <w:rPr>
          <w:rFonts w:hint="eastAsia"/>
          <w:color w:val="auto"/>
          <w:szCs w:val="21"/>
          <w:highlight w:val="none"/>
        </w:rPr>
        <w:t>（三）雷击</w:t>
      </w:r>
    </w:p>
    <w:p>
      <w:pPr>
        <w:spacing w:line="360" w:lineRule="auto"/>
        <w:rPr>
          <w:color w:val="auto"/>
          <w:szCs w:val="21"/>
          <w:highlight w:val="none"/>
        </w:rPr>
      </w:pPr>
      <w:r>
        <w:rPr>
          <w:rFonts w:hint="eastAsia"/>
          <w:color w:val="auto"/>
          <w:szCs w:val="21"/>
          <w:highlight w:val="none"/>
        </w:rPr>
        <w:t>雷击指由雷电造成的灾害。雷电为积雨云中、云间或云地之间产生的放电现象。雷击的破坏形式分直接雷击与感应雷击两种。</w:t>
      </w:r>
    </w:p>
    <w:p>
      <w:pPr>
        <w:spacing w:line="360" w:lineRule="auto"/>
        <w:rPr>
          <w:color w:val="auto"/>
          <w:szCs w:val="21"/>
          <w:highlight w:val="none"/>
        </w:rPr>
      </w:pPr>
      <w:r>
        <w:rPr>
          <w:rFonts w:hint="eastAsia"/>
          <w:color w:val="auto"/>
          <w:szCs w:val="21"/>
          <w:highlight w:val="none"/>
        </w:rPr>
        <w:t>1、直接雷击：由于雷电直接击中保险标的造成损失，属直接雷击责任。</w:t>
      </w:r>
    </w:p>
    <w:p>
      <w:pPr>
        <w:spacing w:line="360" w:lineRule="auto"/>
        <w:rPr>
          <w:color w:val="auto"/>
          <w:szCs w:val="21"/>
          <w:highlight w:val="none"/>
        </w:rPr>
      </w:pPr>
      <w:r>
        <w:rPr>
          <w:rFonts w:hint="eastAsia"/>
          <w:color w:val="auto"/>
          <w:szCs w:val="21"/>
          <w:highlight w:val="none"/>
        </w:rPr>
        <w:t>2、感应雷击：由于雷击产生的静电感应或电磁感应使屋内对地绝缘金属物体产生高电位放出火花引起的火灾，导致电器本身的损毁，或因雷电的高电压感应，致使电器部件的损毁，属感应雷击责任。</w:t>
      </w:r>
    </w:p>
    <w:p>
      <w:pPr>
        <w:spacing w:line="360" w:lineRule="auto"/>
        <w:rPr>
          <w:color w:val="auto"/>
          <w:szCs w:val="21"/>
          <w:highlight w:val="none"/>
        </w:rPr>
      </w:pPr>
      <w:r>
        <w:rPr>
          <w:rFonts w:hint="eastAsia"/>
          <w:color w:val="auto"/>
          <w:szCs w:val="21"/>
          <w:highlight w:val="none"/>
        </w:rPr>
        <w:t>（四）暴雨：指每小时降雨量达16毫米以上，或连续12小时降雨量达30毫米以上，或连续24小时降雨量达50毫米以上的降雨。</w:t>
      </w:r>
    </w:p>
    <w:p>
      <w:pPr>
        <w:spacing w:line="360" w:lineRule="auto"/>
        <w:rPr>
          <w:color w:val="auto"/>
          <w:szCs w:val="21"/>
          <w:highlight w:val="none"/>
        </w:rPr>
      </w:pPr>
      <w:r>
        <w:rPr>
          <w:rFonts w:hint="eastAsia"/>
          <w:color w:val="auto"/>
          <w:szCs w:val="21"/>
          <w:highlight w:val="none"/>
        </w:rPr>
        <w:t>（五）洪水：指山洪暴发、江河泛滥、潮水上岸及倒灌。但规律性的涨潮、自动灭火设施漏水以及在常年水位以下或地下渗水、水管爆裂不属于洪水责任。</w:t>
      </w:r>
    </w:p>
    <w:p>
      <w:pPr>
        <w:spacing w:line="360" w:lineRule="auto"/>
        <w:rPr>
          <w:color w:val="auto"/>
          <w:szCs w:val="21"/>
          <w:highlight w:val="none"/>
        </w:rPr>
      </w:pPr>
      <w:r>
        <w:rPr>
          <w:rFonts w:hint="eastAsia"/>
          <w:color w:val="auto"/>
          <w:szCs w:val="21"/>
          <w:highlight w:val="none"/>
        </w:rPr>
        <w:t>（六）暴风：指风力达8级、风速在17.2米/秒以上的自然风。</w:t>
      </w:r>
    </w:p>
    <w:p>
      <w:pPr>
        <w:spacing w:line="360" w:lineRule="auto"/>
        <w:rPr>
          <w:color w:val="auto"/>
          <w:szCs w:val="21"/>
          <w:highlight w:val="none"/>
        </w:rPr>
      </w:pPr>
      <w:r>
        <w:rPr>
          <w:rFonts w:hint="eastAsia"/>
          <w:color w:val="auto"/>
          <w:szCs w:val="21"/>
          <w:highlight w:val="none"/>
        </w:rPr>
        <w:t>（七）龙卷风：指一种范围小而时间短的猛烈旋风，陆地上平均最大风速在79米/秒-103米/秒，极端最大风速在100米/秒以上。</w:t>
      </w:r>
    </w:p>
    <w:p>
      <w:pPr>
        <w:spacing w:line="360" w:lineRule="auto"/>
        <w:rPr>
          <w:color w:val="auto"/>
          <w:szCs w:val="21"/>
          <w:highlight w:val="none"/>
        </w:rPr>
      </w:pPr>
      <w:r>
        <w:rPr>
          <w:rFonts w:hint="eastAsia"/>
          <w:color w:val="auto"/>
          <w:szCs w:val="21"/>
          <w:highlight w:val="none"/>
        </w:rPr>
        <w:t>（八）冰雹：指从强烈对流的积雨云中降落到地面的冰块或冰球，直径大于5毫米，核心坚硬的固体降水。</w:t>
      </w:r>
    </w:p>
    <w:p>
      <w:pPr>
        <w:spacing w:line="360" w:lineRule="auto"/>
        <w:rPr>
          <w:color w:val="auto"/>
          <w:szCs w:val="21"/>
          <w:highlight w:val="none"/>
        </w:rPr>
      </w:pPr>
      <w:r>
        <w:rPr>
          <w:rFonts w:hint="eastAsia"/>
          <w:color w:val="auto"/>
          <w:szCs w:val="21"/>
          <w:highlight w:val="none"/>
        </w:rPr>
        <w:t>（九）台风、飓风：台风指中心附近最大平均风力12级或以上，即风速在32.6米/秒以上的热带气旋；飓风是一种与台风性质相同、但出现的位置区域不同的热带气旋，台风出现在西北太平洋海域，而飓风出现在印度洋、大西洋海域。</w:t>
      </w:r>
    </w:p>
    <w:p>
      <w:pPr>
        <w:spacing w:line="360" w:lineRule="auto"/>
        <w:rPr>
          <w:color w:val="auto"/>
          <w:szCs w:val="21"/>
          <w:highlight w:val="none"/>
        </w:rPr>
      </w:pPr>
      <w:r>
        <w:rPr>
          <w:rFonts w:hint="eastAsia"/>
          <w:color w:val="auto"/>
          <w:szCs w:val="21"/>
          <w:highlight w:val="none"/>
        </w:rPr>
        <w:t>（十）沙尘暴：指强风将地面大量尘沙吹起，使空气很混浊，水平能见度小于1公里的天气现象。</w:t>
      </w:r>
    </w:p>
    <w:p>
      <w:pPr>
        <w:spacing w:line="360" w:lineRule="auto"/>
        <w:rPr>
          <w:color w:val="auto"/>
          <w:szCs w:val="21"/>
          <w:highlight w:val="none"/>
        </w:rPr>
      </w:pPr>
      <w:r>
        <w:rPr>
          <w:rFonts w:hint="eastAsia"/>
          <w:color w:val="auto"/>
          <w:szCs w:val="21"/>
          <w:highlight w:val="none"/>
        </w:rPr>
        <w:t>（十一）暴雪：指连续12小时的降雪量大于或等于10毫米的降雪现象。</w:t>
      </w:r>
    </w:p>
    <w:p>
      <w:pPr>
        <w:spacing w:line="360" w:lineRule="auto"/>
        <w:rPr>
          <w:color w:val="auto"/>
          <w:szCs w:val="21"/>
          <w:highlight w:val="none"/>
        </w:rPr>
      </w:pPr>
      <w:r>
        <w:rPr>
          <w:rFonts w:hint="eastAsia"/>
          <w:color w:val="auto"/>
          <w:szCs w:val="21"/>
          <w:highlight w:val="none"/>
        </w:rPr>
        <w:t>（十二）冰凌：指春季江河解冻期时冰块飘浮遇阻，堆积成坝，堵塞江道，造成水位急剧上升，以致江水溢出江道，漫延成灾。</w:t>
      </w:r>
    </w:p>
    <w:p>
      <w:pPr>
        <w:spacing w:line="360" w:lineRule="auto"/>
        <w:rPr>
          <w:color w:val="auto"/>
          <w:szCs w:val="21"/>
          <w:highlight w:val="none"/>
        </w:rPr>
      </w:pPr>
      <w:r>
        <w:rPr>
          <w:rFonts w:hint="eastAsia"/>
          <w:color w:val="auto"/>
          <w:szCs w:val="21"/>
          <w:highlight w:val="none"/>
        </w:rPr>
        <w:t>陆上有些地区，如山谷风口或酷寒致使雨雪在物体上结成冰块，成下垂形状，越结越厚，重量增加，由于下垂的拉力致使物体毁坏，也属冰凌责任。</w:t>
      </w:r>
    </w:p>
    <w:p>
      <w:pPr>
        <w:spacing w:line="360" w:lineRule="auto"/>
        <w:rPr>
          <w:color w:val="auto"/>
          <w:szCs w:val="21"/>
          <w:highlight w:val="none"/>
        </w:rPr>
      </w:pPr>
      <w:r>
        <w:rPr>
          <w:rFonts w:hint="eastAsia"/>
          <w:color w:val="auto"/>
          <w:szCs w:val="21"/>
          <w:highlight w:val="none"/>
        </w:rPr>
        <w:t>（十三）突发性滑坡：斜坡上不稳的岩土体或人为堆积物在重力作用下突然整体向下滑动的现象。</w:t>
      </w:r>
    </w:p>
    <w:p>
      <w:pPr>
        <w:spacing w:line="360" w:lineRule="auto"/>
        <w:rPr>
          <w:color w:val="auto"/>
          <w:szCs w:val="21"/>
          <w:highlight w:val="none"/>
        </w:rPr>
      </w:pPr>
      <w:r>
        <w:rPr>
          <w:rFonts w:hint="eastAsia"/>
          <w:color w:val="auto"/>
          <w:szCs w:val="21"/>
          <w:highlight w:val="none"/>
        </w:rPr>
        <w:t>（十四）崩塌：石崖、土崖、岩石受自然风化、雨蚀造成崩溃下塌，以及大量积雪在重力作用下从高处突然崩塌滚落。</w:t>
      </w:r>
    </w:p>
    <w:p>
      <w:pPr>
        <w:spacing w:line="360" w:lineRule="auto"/>
        <w:rPr>
          <w:color w:val="auto"/>
          <w:szCs w:val="21"/>
          <w:highlight w:val="none"/>
        </w:rPr>
      </w:pPr>
      <w:r>
        <w:rPr>
          <w:rFonts w:hint="eastAsia"/>
          <w:color w:val="auto"/>
          <w:szCs w:val="21"/>
          <w:highlight w:val="none"/>
        </w:rPr>
        <w:t>（十五）泥石流：由于雨水、冰雪融化等水源激发的、含有大量泥沙石块的特殊洪流。</w:t>
      </w:r>
    </w:p>
    <w:p>
      <w:pPr>
        <w:spacing w:line="360" w:lineRule="auto"/>
        <w:rPr>
          <w:color w:val="auto"/>
          <w:szCs w:val="21"/>
          <w:highlight w:val="none"/>
        </w:rPr>
      </w:pPr>
      <w:r>
        <w:rPr>
          <w:rFonts w:hint="eastAsia"/>
          <w:color w:val="auto"/>
          <w:szCs w:val="21"/>
          <w:highlight w:val="none"/>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pPr>
        <w:spacing w:line="360" w:lineRule="auto"/>
        <w:rPr>
          <w:color w:val="auto"/>
          <w:szCs w:val="21"/>
          <w:highlight w:val="none"/>
        </w:rPr>
      </w:pPr>
      <w:r>
        <w:rPr>
          <w:rFonts w:hint="eastAsia"/>
          <w:color w:val="auto"/>
          <w:szCs w:val="21"/>
          <w:highlight w:val="none"/>
        </w:rPr>
        <w:t>（十七）飞行物体及其他空中运行物体坠落：指空中飞行器、人造卫星、陨石坠落，吊车、行车在运行时发生的物体坠落，人工开凿或爆炸而致石方、石块、土方飞射、塌下，建筑物倒塌、倒落、倾倒，以及其他空中运行物体坠落。</w:t>
      </w:r>
    </w:p>
    <w:p>
      <w:pPr>
        <w:spacing w:line="360" w:lineRule="auto"/>
        <w:rPr>
          <w:color w:val="auto"/>
          <w:szCs w:val="21"/>
          <w:highlight w:val="none"/>
        </w:rPr>
      </w:pPr>
      <w:r>
        <w:rPr>
          <w:rFonts w:hint="eastAsia"/>
          <w:color w:val="auto"/>
          <w:szCs w:val="21"/>
          <w:highlight w:val="none"/>
        </w:rPr>
        <w:t>（十八）自然灾害：指雷击、暴雨、洪水、暴风、龙卷风、冰雹、台风、飓风、沙尘暴、暴雪、冰凌、突发性滑坡、崩塌、泥石流、地面突然下陷下沉及其他人力不可抗拒的破坏力强大的自然现象。</w:t>
      </w:r>
    </w:p>
    <w:p>
      <w:pPr>
        <w:spacing w:line="360" w:lineRule="auto"/>
        <w:rPr>
          <w:color w:val="auto"/>
          <w:szCs w:val="21"/>
          <w:highlight w:val="none"/>
        </w:rPr>
      </w:pPr>
      <w:r>
        <w:rPr>
          <w:rFonts w:hint="eastAsia"/>
          <w:color w:val="auto"/>
          <w:szCs w:val="21"/>
          <w:highlight w:val="none"/>
        </w:rPr>
        <w:t>（十九）意外事故：指不可预料的以及被保险人无法控制并造成物质损失的突发性事件，包括火灾和爆炸。</w:t>
      </w:r>
    </w:p>
    <w:p>
      <w:pPr>
        <w:spacing w:line="360" w:lineRule="auto"/>
        <w:rPr>
          <w:color w:val="auto"/>
          <w:szCs w:val="21"/>
          <w:highlight w:val="none"/>
        </w:rPr>
      </w:pPr>
      <w:r>
        <w:rPr>
          <w:rFonts w:hint="eastAsia"/>
          <w:color w:val="auto"/>
          <w:szCs w:val="21"/>
          <w:highlight w:val="none"/>
        </w:rPr>
        <w:t>（二十）重大过失行为：指行为人不但没有遵守法律规范对其较高要求，甚至连人们都应当注意并能注意的一般标准也未达到的行为。</w:t>
      </w:r>
    </w:p>
    <w:p>
      <w:pPr>
        <w:spacing w:line="360" w:lineRule="auto"/>
        <w:rPr>
          <w:color w:val="auto"/>
          <w:szCs w:val="21"/>
          <w:highlight w:val="none"/>
        </w:rPr>
      </w:pPr>
      <w:r>
        <w:rPr>
          <w:rFonts w:hint="eastAsia"/>
          <w:color w:val="auto"/>
          <w:szCs w:val="21"/>
          <w:highlight w:val="none"/>
        </w:rPr>
        <w:t>（二十一）恐怖活动：指任何人以某一组织的名义或参与某一组织使用武力或暴力对任何政府进行恐吓或施加影响而采取的行动。</w:t>
      </w:r>
    </w:p>
    <w:p>
      <w:pPr>
        <w:spacing w:line="360" w:lineRule="auto"/>
        <w:rPr>
          <w:color w:val="auto"/>
          <w:szCs w:val="21"/>
          <w:highlight w:val="none"/>
        </w:rPr>
      </w:pPr>
      <w:r>
        <w:rPr>
          <w:rFonts w:hint="eastAsia"/>
          <w:color w:val="auto"/>
          <w:szCs w:val="21"/>
          <w:highlight w:val="none"/>
        </w:rPr>
        <w:t>（二十二）地震：地壳发生的震动。</w:t>
      </w:r>
    </w:p>
    <w:p>
      <w:pPr>
        <w:spacing w:line="360" w:lineRule="auto"/>
        <w:rPr>
          <w:color w:val="auto"/>
          <w:szCs w:val="21"/>
          <w:highlight w:val="none"/>
        </w:rPr>
      </w:pPr>
      <w:r>
        <w:rPr>
          <w:rFonts w:hint="eastAsia"/>
          <w:color w:val="auto"/>
          <w:szCs w:val="21"/>
          <w:highlight w:val="none"/>
        </w:rPr>
        <w:t>（二十三）海啸：海啸是指由海底地震，火山爆发或水下滑坡、塌陷所激发的海洋巨波。</w:t>
      </w:r>
    </w:p>
    <w:p>
      <w:pPr>
        <w:spacing w:line="360" w:lineRule="auto"/>
        <w:rPr>
          <w:color w:val="auto"/>
          <w:szCs w:val="21"/>
          <w:highlight w:val="none"/>
        </w:rPr>
      </w:pPr>
      <w:r>
        <w:rPr>
          <w:rFonts w:hint="eastAsia"/>
          <w:color w:val="auto"/>
          <w:szCs w:val="21"/>
          <w:highlight w:val="none"/>
        </w:rPr>
        <w:t>（二十四）行政行为或司法行为：指各级政府部门、执法机关或依法履行公共管理、社会管理职能的机构下令破坏、征用、罚没保险标的的行为。</w:t>
      </w:r>
    </w:p>
    <w:p>
      <w:pPr>
        <w:spacing w:line="360" w:lineRule="auto"/>
        <w:rPr>
          <w:color w:val="auto"/>
          <w:szCs w:val="21"/>
          <w:highlight w:val="none"/>
        </w:rPr>
      </w:pPr>
      <w:r>
        <w:rPr>
          <w:rFonts w:hint="eastAsia"/>
          <w:color w:val="auto"/>
          <w:szCs w:val="21"/>
          <w:highlight w:val="none"/>
        </w:rPr>
        <w:t>（二十五）简易建筑：指符合下列条件之一的建筑：（1）使用竹木、芦席、蓬布、茅草、油毛毡、塑料膜、尼龙布、玻璃钢瓦等材料为顶或墙体的建筑；（2）顶部封闭，但直立面非封闭部分的面积与直立面总面积的比例超过10％的建筑；（3）屋顶与所有墙体之间的最大距离超过一米的建筑。</w:t>
      </w:r>
    </w:p>
    <w:p>
      <w:pPr>
        <w:spacing w:line="360" w:lineRule="auto"/>
        <w:rPr>
          <w:color w:val="auto"/>
          <w:szCs w:val="21"/>
          <w:highlight w:val="none"/>
        </w:rPr>
      </w:pPr>
      <w:r>
        <w:rPr>
          <w:rFonts w:hint="eastAsia"/>
          <w:color w:val="auto"/>
          <w:szCs w:val="21"/>
          <w:highlight w:val="none"/>
        </w:rPr>
        <w:t>（二十六）自燃：指可燃物在没有外部热源直接作用的情况下，由于其内部的物理作用（如吸附、辐射等）、化学作用（如氧化、分解、聚合等）或生物作用（如发酵、细菌腐败等）而发热，热量积聚导致升温，当可燃物达到一定温度时，未与明火直接接触而发生燃烧的现象。</w:t>
      </w:r>
    </w:p>
    <w:p>
      <w:pPr>
        <w:spacing w:line="360" w:lineRule="auto"/>
        <w:rPr>
          <w:color w:val="auto"/>
          <w:szCs w:val="21"/>
          <w:highlight w:val="none"/>
        </w:rPr>
      </w:pPr>
      <w:r>
        <w:rPr>
          <w:rFonts w:hint="eastAsia"/>
          <w:color w:val="auto"/>
          <w:szCs w:val="21"/>
          <w:highlight w:val="none"/>
        </w:rPr>
        <w:t>（二十七）水箱、水管爆裂：包括冻裂和意外爆裂两种情况。水箱、水管爆裂一般是由水箱、水管本身瑕疵或使用耗损或严寒结冰造成的。</w:t>
      </w:r>
    </w:p>
    <w:p>
      <w:pPr>
        <w:spacing w:line="360" w:lineRule="auto"/>
        <w:rPr>
          <w:color w:val="auto"/>
          <w:szCs w:val="21"/>
          <w:highlight w:val="none"/>
        </w:rPr>
      </w:pPr>
      <w:r>
        <w:rPr>
          <w:rFonts w:hint="eastAsia"/>
          <w:color w:val="auto"/>
          <w:szCs w:val="21"/>
          <w:highlight w:val="none"/>
        </w:rPr>
        <w:t>（二十八）错误：指应该按规定做好的事情而没有做好；</w:t>
      </w:r>
    </w:p>
    <w:p>
      <w:pPr>
        <w:spacing w:line="360" w:lineRule="auto"/>
        <w:rPr>
          <w:color w:val="auto"/>
          <w:szCs w:val="21"/>
          <w:highlight w:val="none"/>
        </w:rPr>
      </w:pPr>
      <w:r>
        <w:rPr>
          <w:rFonts w:hint="eastAsia"/>
          <w:color w:val="auto"/>
          <w:szCs w:val="21"/>
          <w:highlight w:val="none"/>
        </w:rPr>
        <w:t xml:space="preserve">（二十九）缺陷：指材料、设备的质量、工艺未达到国家或行业协会规定的标准。   </w:t>
      </w:r>
    </w:p>
    <w:p>
      <w:pPr>
        <w:spacing w:line="360" w:lineRule="auto"/>
        <w:rPr>
          <w:color w:val="auto"/>
          <w:szCs w:val="21"/>
          <w:highlight w:val="none"/>
        </w:rPr>
      </w:pPr>
      <w:r>
        <w:rPr>
          <w:rFonts w:hint="eastAsia"/>
          <w:color w:val="auto"/>
          <w:szCs w:val="21"/>
          <w:highlight w:val="none"/>
        </w:rPr>
        <w:t>（三十）离心力：是指向心力的反作用力，也称“惯性离心力”；</w:t>
      </w:r>
    </w:p>
    <w:p>
      <w:pPr>
        <w:spacing w:line="360" w:lineRule="auto"/>
        <w:rPr>
          <w:color w:val="auto"/>
          <w:szCs w:val="21"/>
          <w:highlight w:val="none"/>
        </w:rPr>
      </w:pPr>
      <w:r>
        <w:rPr>
          <w:rFonts w:hint="eastAsia"/>
          <w:color w:val="auto"/>
          <w:szCs w:val="21"/>
          <w:highlight w:val="none"/>
        </w:rPr>
        <w:t>（三十一）超负荷：指因电流超过额定数值，电器负荷电流过高，致使电器设备超过额定容量或额定功率。</w:t>
      </w:r>
    </w:p>
    <w:p>
      <w:pPr>
        <w:spacing w:line="360" w:lineRule="auto"/>
        <w:rPr>
          <w:color w:val="auto"/>
          <w:szCs w:val="21"/>
          <w:highlight w:val="none"/>
        </w:rPr>
      </w:pPr>
      <w:r>
        <w:rPr>
          <w:rFonts w:hint="eastAsia"/>
          <w:color w:val="auto"/>
          <w:szCs w:val="21"/>
          <w:highlight w:val="none"/>
        </w:rPr>
        <w:t>（三十二）电弧：指导体与导体之间产生的放电现象。</w:t>
      </w:r>
    </w:p>
    <w:p>
      <w:pPr>
        <w:spacing w:line="360" w:lineRule="auto"/>
        <w:rPr>
          <w:color w:val="auto"/>
          <w:szCs w:val="21"/>
          <w:highlight w:val="none"/>
        </w:rPr>
      </w:pPr>
      <w:r>
        <w:rPr>
          <w:rFonts w:hint="eastAsia"/>
          <w:color w:val="auto"/>
          <w:szCs w:val="21"/>
          <w:highlight w:val="none"/>
        </w:rPr>
        <w:t>（三十三）感应电：指通电导体周围造成的磁场使其他导体产生的带电现象。</w:t>
      </w:r>
    </w:p>
    <w:p>
      <w:pPr>
        <w:pStyle w:val="12"/>
        <w:spacing w:line="240" w:lineRule="auto"/>
        <w:jc w:val="center"/>
        <w:rPr>
          <w:b/>
          <w:color w:val="auto"/>
          <w:highlight w:val="none"/>
        </w:rPr>
      </w:pPr>
      <w:r>
        <w:rPr>
          <w:rFonts w:hint="eastAsia"/>
          <w:b/>
          <w:color w:val="auto"/>
          <w:highlight w:val="none"/>
        </w:rPr>
        <w:t>附录</w:t>
      </w:r>
    </w:p>
    <w:p>
      <w:pPr>
        <w:spacing w:line="240" w:lineRule="auto"/>
        <w:jc w:val="center"/>
        <w:rPr>
          <w:color w:val="auto"/>
          <w:szCs w:val="21"/>
          <w:highlight w:val="none"/>
        </w:rPr>
      </w:pPr>
      <w:r>
        <w:rPr>
          <w:rFonts w:hint="eastAsia"/>
          <w:color w:val="auto"/>
          <w:szCs w:val="21"/>
          <w:highlight w:val="none"/>
        </w:rPr>
        <w:t>短期费率表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540"/>
        <w:gridCol w:w="540"/>
        <w:gridCol w:w="540"/>
        <w:gridCol w:w="540"/>
        <w:gridCol w:w="540"/>
        <w:gridCol w:w="540"/>
        <w:gridCol w:w="540"/>
        <w:gridCol w:w="540"/>
        <w:gridCol w:w="540"/>
        <w:gridCol w:w="540"/>
        <w:gridCol w:w="537"/>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pPr>
              <w:spacing w:line="360" w:lineRule="auto"/>
              <w:rPr>
                <w:color w:val="auto"/>
                <w:szCs w:val="21"/>
                <w:highlight w:val="none"/>
              </w:rPr>
            </w:pPr>
            <w:r>
              <w:rPr>
                <w:rFonts w:hint="eastAsia"/>
                <w:color w:val="auto"/>
                <w:szCs w:val="21"/>
                <w:highlight w:val="none"/>
              </w:rPr>
              <w:t>保险</w:t>
            </w:r>
          </w:p>
          <w:p>
            <w:pPr>
              <w:spacing w:line="360" w:lineRule="auto"/>
              <w:rPr>
                <w:color w:val="auto"/>
                <w:szCs w:val="21"/>
                <w:highlight w:val="none"/>
              </w:rPr>
            </w:pPr>
            <w:r>
              <w:rPr>
                <w:rFonts w:hint="eastAsia"/>
                <w:color w:val="auto"/>
                <w:szCs w:val="21"/>
                <w:highlight w:val="none"/>
              </w:rPr>
              <w:t>期间</w:t>
            </w:r>
          </w:p>
        </w:tc>
        <w:tc>
          <w:tcPr>
            <w:tcW w:w="540" w:type="dxa"/>
            <w:noWrap w:val="0"/>
            <w:vAlign w:val="center"/>
          </w:tcPr>
          <w:p>
            <w:pPr>
              <w:spacing w:line="360" w:lineRule="auto"/>
              <w:rPr>
                <w:color w:val="auto"/>
                <w:szCs w:val="21"/>
                <w:highlight w:val="none"/>
              </w:rPr>
            </w:pPr>
            <w:r>
              <w:rPr>
                <w:rFonts w:hint="eastAsia"/>
                <w:color w:val="auto"/>
                <w:szCs w:val="21"/>
                <w:highlight w:val="none"/>
              </w:rPr>
              <w:t>一</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二</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三</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四</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五</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六</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七</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八</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九</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40" w:type="dxa"/>
            <w:noWrap w:val="0"/>
            <w:vAlign w:val="center"/>
          </w:tcPr>
          <w:p>
            <w:pPr>
              <w:spacing w:line="360" w:lineRule="auto"/>
              <w:rPr>
                <w:color w:val="auto"/>
                <w:szCs w:val="21"/>
                <w:highlight w:val="none"/>
              </w:rPr>
            </w:pPr>
            <w:r>
              <w:rPr>
                <w:rFonts w:hint="eastAsia"/>
                <w:color w:val="auto"/>
                <w:szCs w:val="21"/>
                <w:highlight w:val="none"/>
              </w:rPr>
              <w:t>十</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37" w:type="dxa"/>
            <w:noWrap w:val="0"/>
            <w:vAlign w:val="center"/>
          </w:tcPr>
          <w:p>
            <w:pPr>
              <w:spacing w:line="360" w:lineRule="auto"/>
              <w:rPr>
                <w:color w:val="auto"/>
                <w:szCs w:val="21"/>
                <w:highlight w:val="none"/>
              </w:rPr>
            </w:pPr>
            <w:r>
              <w:rPr>
                <w:rFonts w:hint="eastAsia"/>
                <w:color w:val="auto"/>
                <w:szCs w:val="21"/>
                <w:highlight w:val="none"/>
              </w:rPr>
              <w:t>十</w:t>
            </w:r>
          </w:p>
          <w:p>
            <w:pPr>
              <w:spacing w:line="360" w:lineRule="auto"/>
              <w:rPr>
                <w:color w:val="auto"/>
                <w:szCs w:val="21"/>
                <w:highlight w:val="none"/>
              </w:rPr>
            </w:pPr>
            <w:r>
              <w:rPr>
                <w:rFonts w:hint="eastAsia"/>
                <w:color w:val="auto"/>
                <w:szCs w:val="21"/>
                <w:highlight w:val="none"/>
              </w:rPr>
              <w:t>一</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c>
          <w:tcPr>
            <w:tcW w:w="531" w:type="dxa"/>
            <w:noWrap w:val="0"/>
            <w:vAlign w:val="center"/>
          </w:tcPr>
          <w:p>
            <w:pPr>
              <w:spacing w:line="360" w:lineRule="auto"/>
              <w:rPr>
                <w:color w:val="auto"/>
                <w:szCs w:val="21"/>
                <w:highlight w:val="none"/>
              </w:rPr>
            </w:pPr>
            <w:r>
              <w:rPr>
                <w:rFonts w:hint="eastAsia"/>
                <w:color w:val="auto"/>
                <w:szCs w:val="21"/>
                <w:highlight w:val="none"/>
              </w:rPr>
              <w:t>十</w:t>
            </w:r>
          </w:p>
          <w:p>
            <w:pPr>
              <w:spacing w:line="360" w:lineRule="auto"/>
              <w:rPr>
                <w:color w:val="auto"/>
                <w:szCs w:val="21"/>
                <w:highlight w:val="none"/>
              </w:rPr>
            </w:pPr>
            <w:r>
              <w:rPr>
                <w:rFonts w:hint="eastAsia"/>
                <w:color w:val="auto"/>
                <w:szCs w:val="21"/>
                <w:highlight w:val="none"/>
              </w:rPr>
              <w:t>二</w:t>
            </w:r>
          </w:p>
          <w:p>
            <w:pPr>
              <w:spacing w:line="360" w:lineRule="auto"/>
              <w:rPr>
                <w:color w:val="auto"/>
                <w:szCs w:val="21"/>
                <w:highlight w:val="none"/>
              </w:rPr>
            </w:pPr>
            <w:r>
              <w:rPr>
                <w:rFonts w:hint="eastAsia"/>
                <w:color w:val="auto"/>
                <w:szCs w:val="21"/>
                <w:highlight w:val="none"/>
              </w:rPr>
              <w:t>个</w:t>
            </w:r>
          </w:p>
          <w:p>
            <w:pPr>
              <w:spacing w:line="360" w:lineRule="auto"/>
              <w:rPr>
                <w:color w:val="auto"/>
                <w:szCs w:val="21"/>
                <w:highlight w:val="none"/>
              </w:rPr>
            </w:pPr>
            <w:r>
              <w:rPr>
                <w:rFonts w:hint="eastAsia"/>
                <w:color w:val="auto"/>
                <w:szCs w:val="21"/>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5" w:type="dxa"/>
            <w:noWrap w:val="0"/>
            <w:vAlign w:val="center"/>
          </w:tcPr>
          <w:p>
            <w:pPr>
              <w:spacing w:line="360" w:lineRule="auto"/>
              <w:rPr>
                <w:color w:val="auto"/>
                <w:szCs w:val="21"/>
                <w:highlight w:val="none"/>
              </w:rPr>
            </w:pPr>
            <w:r>
              <w:rPr>
                <w:rFonts w:hint="eastAsia"/>
                <w:color w:val="auto"/>
                <w:szCs w:val="21"/>
                <w:highlight w:val="none"/>
              </w:rPr>
              <w:t>年费率的百分比</w:t>
            </w:r>
          </w:p>
        </w:tc>
        <w:tc>
          <w:tcPr>
            <w:tcW w:w="540" w:type="dxa"/>
            <w:noWrap w:val="0"/>
            <w:vAlign w:val="center"/>
          </w:tcPr>
          <w:p>
            <w:pPr>
              <w:spacing w:line="360" w:lineRule="auto"/>
              <w:rPr>
                <w:color w:val="auto"/>
                <w:szCs w:val="21"/>
                <w:highlight w:val="none"/>
              </w:rPr>
            </w:pPr>
            <w:r>
              <w:rPr>
                <w:rFonts w:hint="eastAsia"/>
                <w:color w:val="auto"/>
                <w:szCs w:val="21"/>
                <w:highlight w:val="none"/>
              </w:rPr>
              <w:t>10</w:t>
            </w:r>
          </w:p>
        </w:tc>
        <w:tc>
          <w:tcPr>
            <w:tcW w:w="540" w:type="dxa"/>
            <w:noWrap w:val="0"/>
            <w:vAlign w:val="center"/>
          </w:tcPr>
          <w:p>
            <w:pPr>
              <w:spacing w:line="360" w:lineRule="auto"/>
              <w:rPr>
                <w:color w:val="auto"/>
                <w:szCs w:val="21"/>
                <w:highlight w:val="none"/>
              </w:rPr>
            </w:pPr>
            <w:r>
              <w:rPr>
                <w:rFonts w:hint="eastAsia"/>
                <w:color w:val="auto"/>
                <w:szCs w:val="21"/>
                <w:highlight w:val="none"/>
              </w:rPr>
              <w:t>20</w:t>
            </w:r>
          </w:p>
        </w:tc>
        <w:tc>
          <w:tcPr>
            <w:tcW w:w="540" w:type="dxa"/>
            <w:noWrap w:val="0"/>
            <w:vAlign w:val="center"/>
          </w:tcPr>
          <w:p>
            <w:pPr>
              <w:spacing w:line="360" w:lineRule="auto"/>
              <w:rPr>
                <w:color w:val="auto"/>
                <w:szCs w:val="21"/>
                <w:highlight w:val="none"/>
              </w:rPr>
            </w:pPr>
            <w:r>
              <w:rPr>
                <w:rFonts w:hint="eastAsia"/>
                <w:color w:val="auto"/>
                <w:szCs w:val="21"/>
                <w:highlight w:val="none"/>
              </w:rPr>
              <w:t>30</w:t>
            </w:r>
          </w:p>
        </w:tc>
        <w:tc>
          <w:tcPr>
            <w:tcW w:w="540" w:type="dxa"/>
            <w:noWrap w:val="0"/>
            <w:vAlign w:val="center"/>
          </w:tcPr>
          <w:p>
            <w:pPr>
              <w:spacing w:line="360" w:lineRule="auto"/>
              <w:rPr>
                <w:color w:val="auto"/>
                <w:szCs w:val="21"/>
                <w:highlight w:val="none"/>
              </w:rPr>
            </w:pPr>
            <w:r>
              <w:rPr>
                <w:rFonts w:hint="eastAsia"/>
                <w:color w:val="auto"/>
                <w:szCs w:val="21"/>
                <w:highlight w:val="none"/>
              </w:rPr>
              <w:t>40</w:t>
            </w:r>
          </w:p>
        </w:tc>
        <w:tc>
          <w:tcPr>
            <w:tcW w:w="540" w:type="dxa"/>
            <w:noWrap w:val="0"/>
            <w:vAlign w:val="center"/>
          </w:tcPr>
          <w:p>
            <w:pPr>
              <w:spacing w:line="360" w:lineRule="auto"/>
              <w:rPr>
                <w:color w:val="auto"/>
                <w:szCs w:val="21"/>
                <w:highlight w:val="none"/>
              </w:rPr>
            </w:pPr>
            <w:r>
              <w:rPr>
                <w:rFonts w:hint="eastAsia"/>
                <w:color w:val="auto"/>
                <w:szCs w:val="21"/>
                <w:highlight w:val="none"/>
              </w:rPr>
              <w:t>50</w:t>
            </w:r>
          </w:p>
        </w:tc>
        <w:tc>
          <w:tcPr>
            <w:tcW w:w="540" w:type="dxa"/>
            <w:noWrap w:val="0"/>
            <w:vAlign w:val="center"/>
          </w:tcPr>
          <w:p>
            <w:pPr>
              <w:spacing w:line="360" w:lineRule="auto"/>
              <w:rPr>
                <w:color w:val="auto"/>
                <w:szCs w:val="21"/>
                <w:highlight w:val="none"/>
              </w:rPr>
            </w:pPr>
            <w:r>
              <w:rPr>
                <w:rFonts w:hint="eastAsia"/>
                <w:color w:val="auto"/>
                <w:szCs w:val="21"/>
                <w:highlight w:val="none"/>
              </w:rPr>
              <w:t>60</w:t>
            </w:r>
          </w:p>
        </w:tc>
        <w:tc>
          <w:tcPr>
            <w:tcW w:w="540" w:type="dxa"/>
            <w:noWrap w:val="0"/>
            <w:vAlign w:val="center"/>
          </w:tcPr>
          <w:p>
            <w:pPr>
              <w:spacing w:line="360" w:lineRule="auto"/>
              <w:rPr>
                <w:color w:val="auto"/>
                <w:szCs w:val="21"/>
                <w:highlight w:val="none"/>
              </w:rPr>
            </w:pPr>
            <w:r>
              <w:rPr>
                <w:rFonts w:hint="eastAsia"/>
                <w:color w:val="auto"/>
                <w:szCs w:val="21"/>
                <w:highlight w:val="none"/>
              </w:rPr>
              <w:t>70</w:t>
            </w:r>
          </w:p>
        </w:tc>
        <w:tc>
          <w:tcPr>
            <w:tcW w:w="540" w:type="dxa"/>
            <w:noWrap w:val="0"/>
            <w:vAlign w:val="center"/>
          </w:tcPr>
          <w:p>
            <w:pPr>
              <w:spacing w:line="360" w:lineRule="auto"/>
              <w:rPr>
                <w:color w:val="auto"/>
                <w:szCs w:val="21"/>
                <w:highlight w:val="none"/>
              </w:rPr>
            </w:pPr>
            <w:r>
              <w:rPr>
                <w:rFonts w:hint="eastAsia"/>
                <w:color w:val="auto"/>
                <w:szCs w:val="21"/>
                <w:highlight w:val="none"/>
              </w:rPr>
              <w:t>80</w:t>
            </w:r>
          </w:p>
        </w:tc>
        <w:tc>
          <w:tcPr>
            <w:tcW w:w="540" w:type="dxa"/>
            <w:noWrap w:val="0"/>
            <w:vAlign w:val="center"/>
          </w:tcPr>
          <w:p>
            <w:pPr>
              <w:spacing w:line="360" w:lineRule="auto"/>
              <w:rPr>
                <w:color w:val="auto"/>
                <w:szCs w:val="21"/>
                <w:highlight w:val="none"/>
              </w:rPr>
            </w:pPr>
            <w:r>
              <w:rPr>
                <w:rFonts w:hint="eastAsia"/>
                <w:color w:val="auto"/>
                <w:szCs w:val="21"/>
                <w:highlight w:val="none"/>
              </w:rPr>
              <w:t>85</w:t>
            </w:r>
          </w:p>
        </w:tc>
        <w:tc>
          <w:tcPr>
            <w:tcW w:w="540" w:type="dxa"/>
            <w:noWrap w:val="0"/>
            <w:vAlign w:val="center"/>
          </w:tcPr>
          <w:p>
            <w:pPr>
              <w:spacing w:line="360" w:lineRule="auto"/>
              <w:rPr>
                <w:color w:val="auto"/>
                <w:szCs w:val="21"/>
                <w:highlight w:val="none"/>
              </w:rPr>
            </w:pPr>
            <w:r>
              <w:rPr>
                <w:rFonts w:hint="eastAsia"/>
                <w:color w:val="auto"/>
                <w:szCs w:val="21"/>
                <w:highlight w:val="none"/>
              </w:rPr>
              <w:t>90</w:t>
            </w:r>
          </w:p>
        </w:tc>
        <w:tc>
          <w:tcPr>
            <w:tcW w:w="537" w:type="dxa"/>
            <w:noWrap w:val="0"/>
            <w:vAlign w:val="center"/>
          </w:tcPr>
          <w:p>
            <w:pPr>
              <w:spacing w:line="360" w:lineRule="auto"/>
              <w:rPr>
                <w:color w:val="auto"/>
                <w:szCs w:val="21"/>
                <w:highlight w:val="none"/>
              </w:rPr>
            </w:pPr>
            <w:r>
              <w:rPr>
                <w:rFonts w:hint="eastAsia"/>
                <w:color w:val="auto"/>
                <w:szCs w:val="21"/>
                <w:highlight w:val="none"/>
              </w:rPr>
              <w:t>95</w:t>
            </w:r>
          </w:p>
        </w:tc>
        <w:tc>
          <w:tcPr>
            <w:tcW w:w="531" w:type="dxa"/>
            <w:noWrap w:val="0"/>
            <w:vAlign w:val="center"/>
          </w:tcPr>
          <w:p>
            <w:pPr>
              <w:spacing w:line="360" w:lineRule="auto"/>
              <w:rPr>
                <w:color w:val="auto"/>
                <w:szCs w:val="21"/>
                <w:highlight w:val="none"/>
              </w:rPr>
            </w:pPr>
            <w:r>
              <w:rPr>
                <w:rFonts w:hint="eastAsia"/>
                <w:color w:val="auto"/>
                <w:szCs w:val="21"/>
                <w:highlight w:val="none"/>
              </w:rPr>
              <w:t>100</w:t>
            </w:r>
          </w:p>
        </w:tc>
      </w:tr>
    </w:tbl>
    <w:p>
      <w:pPr>
        <w:spacing w:line="360" w:lineRule="auto"/>
        <w:rPr>
          <w:color w:val="auto"/>
          <w:szCs w:val="21"/>
          <w:highlight w:val="none"/>
        </w:rPr>
      </w:pPr>
      <w:r>
        <w:rPr>
          <w:rFonts w:hint="eastAsia"/>
          <w:color w:val="auto"/>
          <w:szCs w:val="21"/>
          <w:highlight w:val="none"/>
        </w:rPr>
        <w:t>注：不足一个月的部分按一个月计收。</w:t>
      </w:r>
    </w:p>
    <w:p>
      <w:pPr>
        <w:pStyle w:val="2"/>
        <w:rPr>
          <w:color w:val="auto"/>
          <w:highlight w:val="none"/>
        </w:rPr>
        <w:sectPr>
          <w:footerReference r:id="rId6" w:type="default"/>
          <w:pgSz w:w="11906" w:h="16838"/>
          <w:pgMar w:top="1440" w:right="1468" w:bottom="1440" w:left="1803" w:header="851" w:footer="992" w:gutter="0"/>
          <w:cols w:space="0" w:num="1"/>
          <w:rtlGutter w:val="0"/>
          <w:docGrid w:type="lines" w:linePitch="317" w:charSpace="0"/>
        </w:sectPr>
      </w:pPr>
    </w:p>
    <w:p>
      <w:pPr>
        <w:pStyle w:val="46"/>
        <w:rPr>
          <w:rFonts w:hint="eastAsia" w:ascii="黑体" w:eastAsia="黑体"/>
          <w:b/>
          <w:color w:val="auto"/>
          <w:sz w:val="32"/>
          <w:szCs w:val="32"/>
          <w:highlight w:val="none"/>
        </w:rPr>
      </w:pPr>
    </w:p>
    <w:p>
      <w:pPr>
        <w:autoSpaceDE w:val="0"/>
        <w:autoSpaceDN w:val="0"/>
        <w:adjustRightInd w:val="0"/>
        <w:snapToGrid w:val="0"/>
        <w:spacing w:before="156" w:beforeLines="50" w:after="156" w:afterLines="50" w:line="360" w:lineRule="auto"/>
        <w:ind w:firstLine="2570" w:firstLineChars="800"/>
        <w:rPr>
          <w:rFonts w:hint="eastAsia" w:ascii="黑体" w:eastAsia="黑体"/>
          <w:b/>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六</w:t>
      </w:r>
      <w:r>
        <w:rPr>
          <w:rFonts w:hint="eastAsia" w:ascii="黑体" w:eastAsia="黑体"/>
          <w:b/>
          <w:color w:val="auto"/>
          <w:sz w:val="32"/>
          <w:szCs w:val="32"/>
          <w:highlight w:val="none"/>
        </w:rPr>
        <w:t>章 响应文件组成</w:t>
      </w:r>
    </w:p>
    <w:p>
      <w:pPr>
        <w:spacing w:line="560" w:lineRule="exact"/>
        <w:rPr>
          <w:rFonts w:hint="eastAsia" w:ascii="宋体"/>
          <w:color w:val="auto"/>
          <w:highlight w:val="none"/>
        </w:rPr>
      </w:pPr>
      <w:r>
        <w:rPr>
          <w:rFonts w:hint="eastAsia" w:ascii="宋体"/>
          <w:color w:val="auto"/>
          <w:highlight w:val="none"/>
        </w:rPr>
        <w:t>供应商的响应文件应包含以下</w:t>
      </w:r>
      <w:r>
        <w:rPr>
          <w:rFonts w:hint="eastAsia" w:ascii="宋体"/>
          <w:color w:val="auto"/>
          <w:highlight w:val="none"/>
          <w:lang w:eastAsia="zh-CN"/>
        </w:rPr>
        <w:t>八</w:t>
      </w:r>
      <w:r>
        <w:rPr>
          <w:rFonts w:hint="eastAsia" w:ascii="宋体"/>
          <w:color w:val="auto"/>
          <w:highlight w:val="none"/>
        </w:rPr>
        <w:t>个部分：</w:t>
      </w:r>
    </w:p>
    <w:p>
      <w:pPr>
        <w:adjustRightInd w:val="0"/>
        <w:snapToGrid w:val="0"/>
        <w:spacing w:line="560" w:lineRule="exact"/>
        <w:jc w:val="left"/>
        <w:outlineLvl w:val="0"/>
        <w:rPr>
          <w:rFonts w:hint="eastAsia" w:ascii="宋体" w:hAnsi="宋体"/>
          <w:b/>
          <w:color w:val="auto"/>
          <w:szCs w:val="21"/>
          <w:highlight w:val="none"/>
        </w:rPr>
      </w:pPr>
    </w:p>
    <w:p>
      <w:pPr>
        <w:adjustRightInd w:val="0"/>
        <w:snapToGrid w:val="0"/>
        <w:spacing w:line="560" w:lineRule="exact"/>
        <w:jc w:val="left"/>
        <w:outlineLvl w:val="0"/>
        <w:rPr>
          <w:rFonts w:hint="eastAsia" w:ascii="宋体" w:hAnsi="宋体"/>
          <w:b/>
          <w:color w:val="auto"/>
          <w:szCs w:val="21"/>
          <w:highlight w:val="none"/>
        </w:rPr>
      </w:pPr>
      <w:r>
        <w:rPr>
          <w:rFonts w:hint="eastAsia" w:ascii="宋体" w:hAnsi="宋体"/>
          <w:b/>
          <w:color w:val="auto"/>
          <w:szCs w:val="21"/>
          <w:highlight w:val="none"/>
        </w:rPr>
        <w:t>一、询价响应声明</w:t>
      </w:r>
    </w:p>
    <w:p>
      <w:pPr>
        <w:adjustRightInd w:val="0"/>
        <w:snapToGrid w:val="0"/>
        <w:spacing w:line="560" w:lineRule="exact"/>
        <w:ind w:firstLine="420" w:firstLineChars="200"/>
        <w:jc w:val="left"/>
        <w:outlineLvl w:val="0"/>
        <w:rPr>
          <w:rFonts w:hint="eastAsia" w:ascii="宋体" w:hAnsi="宋体"/>
          <w:color w:val="auto"/>
          <w:szCs w:val="21"/>
          <w:highlight w:val="none"/>
        </w:rPr>
      </w:pPr>
      <w:r>
        <w:rPr>
          <w:rFonts w:hint="eastAsia" w:ascii="宋体" w:hAnsi="宋体"/>
          <w:color w:val="auto"/>
          <w:szCs w:val="21"/>
          <w:highlight w:val="none"/>
        </w:rPr>
        <w:t>法定代表人身份证明(法定代表人参加询价)</w:t>
      </w:r>
    </w:p>
    <w:p>
      <w:pPr>
        <w:adjustRightInd w:val="0"/>
        <w:snapToGrid w:val="0"/>
        <w:spacing w:line="560" w:lineRule="exact"/>
        <w:ind w:firstLine="420" w:firstLineChars="200"/>
        <w:jc w:val="left"/>
        <w:outlineLvl w:val="0"/>
        <w:rPr>
          <w:rFonts w:hint="eastAsia" w:ascii="宋体" w:hAnsi="宋体"/>
          <w:color w:val="auto"/>
          <w:szCs w:val="21"/>
          <w:highlight w:val="none"/>
        </w:rPr>
      </w:pPr>
      <w:r>
        <w:rPr>
          <w:rFonts w:hint="eastAsia" w:ascii="宋体" w:hAnsi="宋体"/>
          <w:color w:val="auto"/>
          <w:szCs w:val="21"/>
          <w:highlight w:val="none"/>
        </w:rPr>
        <w:t>法定代表人授权书(委托代理人参加询价)</w:t>
      </w:r>
    </w:p>
    <w:p>
      <w:pPr>
        <w:adjustRightInd w:val="0"/>
        <w:snapToGrid w:val="0"/>
        <w:spacing w:line="560" w:lineRule="exact"/>
        <w:ind w:firstLine="0" w:firstLineChars="0"/>
        <w:jc w:val="left"/>
        <w:outlineLvl w:val="0"/>
        <w:rPr>
          <w:rFonts w:hint="eastAsia" w:ascii="宋体" w:hAnsi="宋体"/>
          <w:b/>
          <w:color w:val="auto"/>
          <w:szCs w:val="21"/>
          <w:highlight w:val="none"/>
        </w:rPr>
      </w:pPr>
      <w:r>
        <w:rPr>
          <w:rFonts w:hint="eastAsia" w:ascii="宋体" w:hAnsi="宋体"/>
          <w:b/>
          <w:color w:val="auto"/>
          <w:szCs w:val="21"/>
          <w:highlight w:val="none"/>
          <w:lang w:eastAsia="zh-CN"/>
        </w:rPr>
        <w:t>二</w:t>
      </w:r>
      <w:r>
        <w:rPr>
          <w:rFonts w:hint="eastAsia" w:ascii="宋体" w:hAnsi="宋体"/>
          <w:b/>
          <w:color w:val="auto"/>
          <w:szCs w:val="21"/>
          <w:highlight w:val="none"/>
        </w:rPr>
        <w:t>、供应商的资格证明材料</w:t>
      </w:r>
    </w:p>
    <w:p>
      <w:pPr>
        <w:adjustRightInd w:val="0"/>
        <w:snapToGrid w:val="0"/>
        <w:spacing w:line="560" w:lineRule="exact"/>
        <w:ind w:firstLine="420" w:firstLineChars="200"/>
        <w:jc w:val="left"/>
        <w:outlineLvl w:val="0"/>
        <w:rPr>
          <w:rFonts w:hint="eastAsia" w:ascii="宋体" w:hAnsi="宋体"/>
          <w:color w:val="auto"/>
          <w:szCs w:val="21"/>
          <w:highlight w:val="none"/>
        </w:rPr>
      </w:pPr>
      <w:r>
        <w:rPr>
          <w:rFonts w:hint="eastAsia" w:ascii="宋体" w:hAnsi="宋体"/>
          <w:color w:val="auto"/>
          <w:szCs w:val="21"/>
          <w:highlight w:val="none"/>
        </w:rPr>
        <w:t>供应商基本情况表</w:t>
      </w:r>
    </w:p>
    <w:p>
      <w:pPr>
        <w:adjustRightInd w:val="0"/>
        <w:snapToGrid w:val="0"/>
        <w:spacing w:line="560" w:lineRule="exact"/>
        <w:ind w:firstLine="420" w:firstLineChars="200"/>
        <w:outlineLvl w:val="0"/>
        <w:rPr>
          <w:rFonts w:hint="eastAsia" w:ascii="宋体" w:hAnsi="宋体"/>
          <w:color w:val="auto"/>
          <w:szCs w:val="21"/>
          <w:highlight w:val="none"/>
        </w:rPr>
      </w:pPr>
      <w:r>
        <w:rPr>
          <w:rFonts w:hint="eastAsia" w:ascii="宋体" w:hAnsi="宋体"/>
          <w:color w:val="auto"/>
          <w:szCs w:val="21"/>
          <w:highlight w:val="none"/>
        </w:rPr>
        <w:t>供应商的资格条件更新材料</w:t>
      </w:r>
    </w:p>
    <w:p>
      <w:pPr>
        <w:adjustRightInd w:val="0"/>
        <w:snapToGrid w:val="0"/>
        <w:spacing w:line="560" w:lineRule="exact"/>
        <w:jc w:val="left"/>
        <w:outlineLvl w:val="0"/>
        <w:rPr>
          <w:rFonts w:hint="eastAsia" w:ascii="宋体" w:hAnsi="宋体"/>
          <w:b/>
          <w:color w:val="auto"/>
          <w:sz w:val="21"/>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w:t>
      </w:r>
      <w:r>
        <w:rPr>
          <w:rFonts w:hint="eastAsia" w:ascii="宋体" w:hAnsi="宋体" w:eastAsia="宋体" w:cs="Times New Roman"/>
          <w:b/>
          <w:bCs w:val="0"/>
          <w:color w:val="auto"/>
          <w:sz w:val="21"/>
          <w:szCs w:val="21"/>
          <w:highlight w:val="none"/>
        </w:rPr>
        <w:t>服务方案</w:t>
      </w:r>
      <w:r>
        <w:rPr>
          <w:rFonts w:hint="eastAsia" w:ascii="宋体" w:hAnsi="宋体"/>
          <w:b/>
          <w:color w:val="auto"/>
          <w:sz w:val="21"/>
          <w:szCs w:val="21"/>
          <w:highlight w:val="none"/>
        </w:rPr>
        <w:t xml:space="preserve"> </w:t>
      </w:r>
    </w:p>
    <w:p>
      <w:pPr>
        <w:pStyle w:val="16"/>
        <w:numPr>
          <w:ilvl w:val="0"/>
          <w:numId w:val="4"/>
        </w:numPr>
        <w:adjustRightInd w:val="0"/>
        <w:snapToGrid w:val="0"/>
        <w:spacing w:line="560" w:lineRule="exact"/>
        <w:rPr>
          <w:rFonts w:hint="eastAsia" w:hAnsi="宋体"/>
          <w:b/>
          <w:color w:val="auto"/>
          <w:highlight w:val="none"/>
        </w:rPr>
      </w:pPr>
      <w:r>
        <w:rPr>
          <w:rFonts w:hint="eastAsia" w:hAnsi="宋体"/>
          <w:b/>
          <w:color w:val="auto"/>
          <w:highlight w:val="none"/>
        </w:rPr>
        <w:t>技术/商务响应与偏离表</w:t>
      </w:r>
    </w:p>
    <w:p>
      <w:pPr>
        <w:pStyle w:val="16"/>
        <w:numPr>
          <w:ilvl w:val="-1"/>
          <w:numId w:val="0"/>
        </w:numPr>
        <w:adjustRightInd w:val="0"/>
        <w:snapToGrid w:val="0"/>
        <w:spacing w:line="560" w:lineRule="exact"/>
        <w:ind w:firstLine="420" w:firstLineChars="200"/>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采购需求偏离表</w:t>
      </w:r>
    </w:p>
    <w:p>
      <w:pPr>
        <w:pStyle w:val="6"/>
        <w:adjustRightInd w:val="0"/>
        <w:snapToGrid w:val="0"/>
        <w:spacing w:line="560" w:lineRule="exact"/>
        <w:ind w:firstLine="420" w:firstLineChars="200"/>
        <w:jc w:val="both"/>
        <w:rPr>
          <w:rFonts w:hint="eastAsia"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商务、合同条款偏离表</w:t>
      </w:r>
    </w:p>
    <w:p>
      <w:pPr>
        <w:pStyle w:val="16"/>
        <w:adjustRightInd w:val="0"/>
        <w:snapToGrid w:val="0"/>
        <w:spacing w:line="560" w:lineRule="exact"/>
        <w:ind w:firstLine="0" w:firstLineChars="0"/>
        <w:rPr>
          <w:rFonts w:hint="eastAsia" w:hAnsi="宋体"/>
          <w:b/>
          <w:color w:val="auto"/>
          <w:highlight w:val="none"/>
        </w:rPr>
      </w:pPr>
      <w:r>
        <w:rPr>
          <w:rFonts w:hint="eastAsia" w:hAnsi="宋体"/>
          <w:b/>
          <w:color w:val="auto"/>
          <w:highlight w:val="none"/>
        </w:rPr>
        <w:t>六、报价一览表及报价文件</w:t>
      </w:r>
    </w:p>
    <w:p>
      <w:pPr>
        <w:pStyle w:val="16"/>
        <w:adjustRightInd w:val="0"/>
        <w:snapToGrid w:val="0"/>
        <w:spacing w:line="560" w:lineRule="exact"/>
        <w:rPr>
          <w:rFonts w:hint="eastAsia" w:ascii="宋体" w:hAnsi="宋体"/>
          <w:b/>
          <w:color w:val="auto"/>
          <w:szCs w:val="21"/>
          <w:highlight w:val="none"/>
        </w:rPr>
      </w:pPr>
      <w:r>
        <w:rPr>
          <w:rFonts w:hint="eastAsia" w:hAnsi="宋体"/>
          <w:b/>
          <w:color w:val="auto"/>
          <w:highlight w:val="none"/>
          <w:lang w:eastAsia="zh-CN"/>
        </w:rPr>
        <w:t>七</w:t>
      </w:r>
      <w:r>
        <w:rPr>
          <w:rFonts w:hint="eastAsia" w:hAnsi="宋体"/>
          <w:b/>
          <w:color w:val="auto"/>
          <w:highlight w:val="none"/>
        </w:rPr>
        <w:t>、供应商认为需提供的其它资料</w:t>
      </w:r>
    </w:p>
    <w:p>
      <w:pPr>
        <w:pStyle w:val="16"/>
        <w:numPr>
          <w:ilvl w:val="-1"/>
          <w:numId w:val="0"/>
        </w:numPr>
        <w:adjustRightInd w:val="0"/>
        <w:snapToGrid w:val="0"/>
        <w:spacing w:line="560" w:lineRule="exact"/>
        <w:ind w:left="0"/>
        <w:jc w:val="left"/>
        <w:rPr>
          <w:rFonts w:hint="eastAsia" w:ascii="宋体" w:hAnsi="宋体" w:eastAsia="宋体"/>
          <w:b/>
          <w:color w:val="auto"/>
          <w:sz w:val="21"/>
          <w:szCs w:val="21"/>
          <w:highlight w:val="none"/>
        </w:rPr>
      </w:pPr>
      <w:r>
        <w:rPr>
          <w:rFonts w:hint="eastAsia" w:hAnsi="宋体"/>
          <w:b/>
          <w:color w:val="auto"/>
          <w:sz w:val="21"/>
          <w:szCs w:val="21"/>
          <w:highlight w:val="none"/>
          <w:lang w:eastAsia="zh-CN"/>
        </w:rPr>
        <w:t>八</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代理服务费承诺书</w:t>
      </w:r>
    </w:p>
    <w:p>
      <w:pPr>
        <w:adjustRightInd w:val="0"/>
        <w:snapToGrid w:val="0"/>
        <w:spacing w:line="360" w:lineRule="auto"/>
        <w:rPr>
          <w:rFonts w:hint="eastAsia" w:ascii="宋体" w:hAnsi="宋体"/>
          <w:b/>
          <w:color w:val="auto"/>
          <w:szCs w:val="21"/>
          <w:highlight w:val="none"/>
        </w:rPr>
      </w:pPr>
    </w:p>
    <w:p>
      <w:pPr>
        <w:adjustRightInd w:val="0"/>
        <w:snapToGrid w:val="0"/>
        <w:spacing w:line="360" w:lineRule="auto"/>
        <w:rPr>
          <w:rFonts w:hint="eastAsia" w:ascii="宋体" w:hAnsi="宋体"/>
          <w:b/>
          <w:color w:val="auto"/>
          <w:szCs w:val="21"/>
          <w:highlight w:val="none"/>
        </w:rPr>
      </w:pPr>
    </w:p>
    <w:p>
      <w:pPr>
        <w:adjustRightInd w:val="0"/>
        <w:snapToGrid w:val="0"/>
        <w:spacing w:line="360" w:lineRule="auto"/>
        <w:rPr>
          <w:rFonts w:hint="eastAsia" w:ascii="宋体" w:hAnsi="宋体"/>
          <w:b/>
          <w:color w:val="auto"/>
          <w:highlight w:val="none"/>
        </w:rPr>
      </w:pPr>
    </w:p>
    <w:p>
      <w:pPr>
        <w:pStyle w:val="2"/>
        <w:rPr>
          <w:rFonts w:hint="eastAsia" w:ascii="宋体" w:hAnsi="宋体"/>
          <w:b/>
          <w:color w:val="auto"/>
          <w:highlight w:val="none"/>
        </w:rPr>
      </w:pPr>
    </w:p>
    <w:p>
      <w:pPr>
        <w:pStyle w:val="3"/>
        <w:rPr>
          <w:rFonts w:hint="eastAsia"/>
          <w:color w:val="auto"/>
          <w:highlight w:val="none"/>
        </w:rPr>
      </w:pPr>
    </w:p>
    <w:p>
      <w:pPr>
        <w:pStyle w:val="6"/>
        <w:rPr>
          <w:rFonts w:hint="eastAsia"/>
          <w:color w:val="auto"/>
          <w:highlight w:val="none"/>
        </w:rPr>
      </w:pPr>
    </w:p>
    <w:p>
      <w:pPr>
        <w:rPr>
          <w:rFonts w:hint="eastAsia"/>
          <w:color w:val="auto"/>
          <w:highlight w:val="none"/>
        </w:rPr>
      </w:pPr>
    </w:p>
    <w:p>
      <w:pPr>
        <w:pStyle w:val="2"/>
        <w:rPr>
          <w:rFonts w:hint="eastAsia"/>
        </w:rPr>
      </w:pPr>
    </w:p>
    <w:p>
      <w:pPr>
        <w:pStyle w:val="47"/>
        <w:rPr>
          <w:rFonts w:hint="eastAsia"/>
          <w:color w:val="auto"/>
          <w:highlight w:val="none"/>
        </w:rPr>
      </w:pPr>
    </w:p>
    <w:p>
      <w:pPr>
        <w:adjustRightInd w:val="0"/>
        <w:snapToGrid w:val="0"/>
        <w:spacing w:line="360" w:lineRule="auto"/>
        <w:jc w:val="center"/>
        <w:outlineLvl w:val="0"/>
        <w:rPr>
          <w:rFonts w:hint="eastAsia" w:ascii="仿宋_GB2312" w:hAnsi="宋体" w:eastAsia="仿宋_GB2312"/>
          <w:color w:val="auto"/>
          <w:sz w:val="24"/>
          <w:highlight w:val="none"/>
        </w:rPr>
      </w:pPr>
      <w:r>
        <w:rPr>
          <w:rFonts w:hint="eastAsia" w:ascii="黑体" w:eastAsia="黑体"/>
          <w:b/>
          <w:color w:val="auto"/>
          <w:sz w:val="32"/>
          <w:szCs w:val="32"/>
          <w:highlight w:val="none"/>
        </w:rPr>
        <w:t>一、</w:t>
      </w:r>
      <w:r>
        <w:rPr>
          <w:rFonts w:hint="eastAsia" w:ascii="黑体" w:hAnsi="宋体" w:eastAsia="黑体"/>
          <w:b/>
          <w:color w:val="auto"/>
          <w:sz w:val="32"/>
          <w:szCs w:val="32"/>
          <w:highlight w:val="none"/>
        </w:rPr>
        <w:t>询价响应声明</w:t>
      </w:r>
    </w:p>
    <w:p>
      <w:pPr>
        <w:adjustRightInd w:val="0"/>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(采购人、采购代理机构)：</w:t>
      </w:r>
    </w:p>
    <w:p>
      <w:pPr>
        <w:adjustRightInd w:val="0"/>
        <w:snapToGrid w:val="0"/>
        <w:spacing w:before="156" w:beforeLines="50" w:line="360" w:lineRule="auto"/>
        <w:ind w:firstLine="435"/>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（项目名称）的</w:t>
      </w:r>
      <w:r>
        <w:rPr>
          <w:rFonts w:hint="eastAsia" w:ascii="宋体" w:hAnsi="宋体"/>
          <w:color w:val="auto"/>
          <w:szCs w:val="21"/>
          <w:highlight w:val="none"/>
          <w:lang w:eastAsia="zh-CN"/>
        </w:rPr>
        <w:t>询价邀请</w:t>
      </w:r>
      <w:r>
        <w:rPr>
          <w:rFonts w:hint="eastAsia" w:ascii="宋体" w:hAnsi="宋体"/>
          <w:color w:val="auto"/>
          <w:szCs w:val="21"/>
          <w:highlight w:val="none"/>
        </w:rPr>
        <w:t>（采购代理编号：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），签字代表 </w:t>
      </w:r>
      <w:r>
        <w:rPr>
          <w:rFonts w:hint="eastAsia" w:ascii="宋体" w:hAnsi="宋体"/>
          <w:color w:val="auto"/>
          <w:szCs w:val="21"/>
          <w:highlight w:val="none"/>
          <w:u w:val="single"/>
        </w:rPr>
        <w:t xml:space="preserve">      </w:t>
      </w:r>
      <w:r>
        <w:rPr>
          <w:rFonts w:hint="eastAsia" w:ascii="宋体" w:hAnsi="宋体"/>
          <w:color w:val="auto"/>
          <w:szCs w:val="21"/>
          <w:highlight w:val="none"/>
        </w:rPr>
        <w:t>（姓名、职务）经正式授权并代表供应商</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（供应商名称）提交响应文件正本一份,副本</w:t>
      </w:r>
      <w:r>
        <w:rPr>
          <w:rFonts w:hint="eastAsia" w:ascii="宋体" w:hAnsi="宋体"/>
          <w:color w:val="auto"/>
          <w:szCs w:val="21"/>
          <w:highlight w:val="none"/>
          <w:u w:val="single"/>
        </w:rPr>
        <w:t xml:space="preserve">     </w:t>
      </w:r>
      <w:r>
        <w:rPr>
          <w:rFonts w:hint="eastAsia" w:ascii="宋体" w:hAnsi="宋体"/>
          <w:color w:val="auto"/>
          <w:szCs w:val="21"/>
          <w:highlight w:val="none"/>
        </w:rPr>
        <w:t>份；响应文件电子文档：壹份，参加采购项目</w:t>
      </w:r>
      <w:r>
        <w:rPr>
          <w:rFonts w:hint="eastAsia" w:ascii="宋体" w:hAnsi="宋体"/>
          <w:color w:val="auto"/>
          <w:szCs w:val="21"/>
          <w:highlight w:val="none"/>
          <w:lang w:val="en-US" w:eastAsia="zh-CN"/>
        </w:rPr>
        <w:t>询价</w:t>
      </w:r>
      <w:r>
        <w:rPr>
          <w:rFonts w:hint="eastAsia" w:ascii="宋体" w:hAnsi="宋体"/>
          <w:color w:val="auto"/>
          <w:szCs w:val="21"/>
          <w:highlight w:val="none"/>
        </w:rPr>
        <w:t>，并在此声明，所递交的响应文件内容完整、真实。</w:t>
      </w:r>
    </w:p>
    <w:p>
      <w:pPr>
        <w:pStyle w:val="16"/>
        <w:adjustRightInd w:val="0"/>
        <w:snapToGrid w:val="0"/>
        <w:spacing w:before="156" w:beforeLines="50" w:line="360" w:lineRule="auto"/>
        <w:ind w:firstLine="420" w:firstLineChars="200"/>
        <w:rPr>
          <w:rFonts w:hAnsi="宋体"/>
          <w:color w:val="auto"/>
          <w:highlight w:val="none"/>
        </w:rPr>
      </w:pPr>
      <w:r>
        <w:rPr>
          <w:rFonts w:hint="eastAsia" w:hAnsi="宋体"/>
          <w:color w:val="auto"/>
          <w:highlight w:val="none"/>
        </w:rPr>
        <w:t>一、我方已详细审查</w:t>
      </w:r>
      <w:r>
        <w:rPr>
          <w:rFonts w:hint="eastAsia" w:hAnsi="宋体"/>
          <w:color w:val="auto"/>
          <w:highlight w:val="none"/>
          <w:lang w:eastAsia="zh-CN"/>
        </w:rPr>
        <w:t>询价通知书</w:t>
      </w:r>
      <w:r>
        <w:rPr>
          <w:rFonts w:hint="eastAsia" w:hAnsi="宋体"/>
          <w:color w:val="auto"/>
          <w:highlight w:val="none"/>
        </w:rPr>
        <w:t>。我们完全理解并同意放弃对这方面有不明及误解的权力。</w:t>
      </w:r>
    </w:p>
    <w:p>
      <w:pPr>
        <w:pStyle w:val="16"/>
        <w:adjustRightInd w:val="0"/>
        <w:snapToGrid w:val="0"/>
        <w:spacing w:before="156" w:beforeLines="50" w:line="360" w:lineRule="auto"/>
        <w:ind w:firstLine="420" w:firstLineChars="200"/>
        <w:rPr>
          <w:rFonts w:hAnsi="宋体"/>
          <w:bCs/>
          <w:color w:val="auto"/>
          <w:highlight w:val="none"/>
        </w:rPr>
      </w:pPr>
      <w:r>
        <w:rPr>
          <w:rFonts w:hint="eastAsia" w:hAnsi="宋体"/>
          <w:color w:val="auto"/>
          <w:highlight w:val="none"/>
        </w:rPr>
        <w:t>二、我方愿意向贵方提供任何与本项采购有关的数据、情况和技术资料。若贵方需要，我方愿意提供我方作出的一切承诺的证明材料。</w:t>
      </w:r>
    </w:p>
    <w:p>
      <w:pPr>
        <w:pStyle w:val="16"/>
        <w:adjustRightInd w:val="0"/>
        <w:snapToGrid w:val="0"/>
        <w:spacing w:before="156" w:beforeLines="50" w:line="360" w:lineRule="auto"/>
        <w:ind w:firstLine="420" w:firstLineChars="200"/>
        <w:rPr>
          <w:rFonts w:hAnsi="宋体"/>
          <w:color w:val="auto"/>
          <w:highlight w:val="none"/>
        </w:rPr>
      </w:pPr>
      <w:r>
        <w:rPr>
          <w:rFonts w:hint="eastAsia" w:hAnsi="宋体"/>
          <w:color w:val="auto"/>
          <w:highlight w:val="none"/>
        </w:rPr>
        <w:t>三、我方愿意按</w:t>
      </w:r>
      <w:r>
        <w:rPr>
          <w:rFonts w:hint="eastAsia" w:hAnsi="宋体"/>
          <w:color w:val="auto"/>
          <w:highlight w:val="none"/>
          <w:lang w:eastAsia="zh-CN"/>
        </w:rPr>
        <w:t>询价通知书</w:t>
      </w:r>
      <w:r>
        <w:rPr>
          <w:rFonts w:hint="eastAsia" w:hAnsi="宋体"/>
          <w:color w:val="auto"/>
          <w:highlight w:val="none"/>
        </w:rPr>
        <w:t>规定和</w:t>
      </w:r>
      <w:r>
        <w:rPr>
          <w:rFonts w:hint="eastAsia" w:hAnsi="宋体"/>
          <w:color w:val="auto"/>
          <w:highlight w:val="none"/>
          <w:lang w:eastAsia="zh-CN"/>
        </w:rPr>
        <w:t>询价小组</w:t>
      </w:r>
      <w:r>
        <w:rPr>
          <w:rFonts w:hint="eastAsia" w:hAnsi="宋体"/>
          <w:color w:val="auto"/>
          <w:highlight w:val="none"/>
        </w:rPr>
        <w:t>要求重新提交响应文件和最后报价。</w:t>
      </w:r>
    </w:p>
    <w:p>
      <w:pPr>
        <w:pStyle w:val="16"/>
        <w:adjustRightInd w:val="0"/>
        <w:snapToGrid w:val="0"/>
        <w:spacing w:before="156" w:beforeLines="50" w:line="360" w:lineRule="auto"/>
        <w:ind w:firstLine="420" w:firstLineChars="200"/>
        <w:rPr>
          <w:rFonts w:hAnsi="宋体"/>
          <w:color w:val="auto"/>
          <w:highlight w:val="none"/>
        </w:rPr>
      </w:pPr>
      <w:r>
        <w:rPr>
          <w:rFonts w:hint="eastAsia" w:hAnsi="宋体"/>
          <w:color w:val="auto"/>
          <w:highlight w:val="none"/>
        </w:rPr>
        <w:t>四、我方同意在</w:t>
      </w:r>
      <w:r>
        <w:rPr>
          <w:rFonts w:hint="eastAsia" w:hAnsi="宋体"/>
          <w:color w:val="auto"/>
          <w:highlight w:val="none"/>
          <w:lang w:eastAsia="zh-CN"/>
        </w:rPr>
        <w:t>询价通知书</w:t>
      </w:r>
      <w:r>
        <w:rPr>
          <w:rFonts w:hint="eastAsia" w:hAnsi="宋体"/>
          <w:color w:val="auto"/>
          <w:highlight w:val="none"/>
        </w:rPr>
        <w:t>中规定的提交首次响应文件截止时间起</w:t>
      </w:r>
      <w:r>
        <w:rPr>
          <w:rFonts w:hint="eastAsia" w:hAnsi="宋体"/>
          <w:color w:val="auto"/>
          <w:highlight w:val="none"/>
          <w:u w:val="single"/>
        </w:rPr>
        <w:t xml:space="preserve">    </w:t>
      </w:r>
      <w:r>
        <w:rPr>
          <w:rFonts w:hint="eastAsia" w:hAnsi="宋体"/>
          <w:color w:val="auto"/>
          <w:highlight w:val="none"/>
        </w:rPr>
        <w:t>日内(响应文件有效期)遵守本响应文件中的承诺且在此期限期满之前均具有法律约束力。</w:t>
      </w:r>
    </w:p>
    <w:p>
      <w:pPr>
        <w:pStyle w:val="16"/>
        <w:adjustRightInd w:val="0"/>
        <w:snapToGrid w:val="0"/>
        <w:spacing w:before="156" w:beforeLines="50" w:line="360" w:lineRule="auto"/>
        <w:ind w:firstLine="420" w:firstLineChars="200"/>
        <w:rPr>
          <w:rFonts w:hAnsi="宋体"/>
          <w:color w:val="auto"/>
          <w:highlight w:val="none"/>
        </w:rPr>
      </w:pPr>
      <w:r>
        <w:rPr>
          <w:rFonts w:hint="eastAsia" w:hAnsi="宋体"/>
          <w:color w:val="auto"/>
          <w:highlight w:val="none"/>
        </w:rPr>
        <w:t>五、我方承诺遵守《政府采购法》及实施条例、《政府采购非招标方式管理办法》（财政部第74号令）的有关规定，保证在获得成交资格后，按照</w:t>
      </w:r>
      <w:r>
        <w:rPr>
          <w:rFonts w:hint="eastAsia" w:hAnsi="宋体"/>
          <w:color w:val="auto"/>
          <w:highlight w:val="none"/>
          <w:lang w:eastAsia="zh-CN"/>
        </w:rPr>
        <w:t>询价通知书</w:t>
      </w:r>
      <w:r>
        <w:rPr>
          <w:rFonts w:hint="eastAsia" w:hAnsi="宋体"/>
          <w:color w:val="auto"/>
          <w:highlight w:val="none"/>
        </w:rPr>
        <w:t>确定的事项签订</w:t>
      </w:r>
      <w:r>
        <w:rPr>
          <w:rFonts w:hint="eastAsia" w:hAnsi="宋体"/>
          <w:color w:val="auto"/>
          <w:highlight w:val="none"/>
          <w:lang w:eastAsia="zh-CN"/>
        </w:rPr>
        <w:t>采购</w:t>
      </w:r>
      <w:r>
        <w:rPr>
          <w:rFonts w:hint="eastAsia" w:hAnsi="宋体"/>
          <w:color w:val="auto"/>
          <w:highlight w:val="none"/>
        </w:rPr>
        <w:t>合同，履行双方所签订的合同，并承担合同规定的责任和义务。</w:t>
      </w:r>
    </w:p>
    <w:p>
      <w:pPr>
        <w:pStyle w:val="16"/>
        <w:adjustRightInd w:val="0"/>
        <w:snapToGrid w:val="0"/>
        <w:spacing w:before="156" w:beforeLines="50" w:line="360" w:lineRule="auto"/>
        <w:ind w:firstLine="420" w:firstLineChars="200"/>
        <w:rPr>
          <w:rFonts w:hAnsi="宋体"/>
          <w:color w:val="auto"/>
          <w:highlight w:val="none"/>
        </w:rPr>
      </w:pPr>
      <w:r>
        <w:rPr>
          <w:rFonts w:hint="eastAsia" w:hAnsi="宋体"/>
          <w:color w:val="auto"/>
          <w:highlight w:val="none"/>
        </w:rPr>
        <w:t>六、我方承诺在参与</w:t>
      </w:r>
      <w:r>
        <w:rPr>
          <w:rFonts w:hint="eastAsia" w:hAnsi="宋体"/>
          <w:color w:val="auto"/>
          <w:highlight w:val="none"/>
          <w:lang w:val="en-US" w:eastAsia="zh-CN"/>
        </w:rPr>
        <w:t>询价采购</w:t>
      </w:r>
      <w:r>
        <w:rPr>
          <w:rFonts w:hint="eastAsia" w:hAnsi="宋体"/>
          <w:color w:val="auto"/>
          <w:highlight w:val="none"/>
        </w:rPr>
        <w:t>过程中，若出现《政府采购法》第七十七条、《政府采购法实施条例》第七十二条和《政府采购非招标方式管理办法》第五十四条规定之情形，我方同意接受条款规定作出的处罚。</w:t>
      </w:r>
    </w:p>
    <w:p>
      <w:pPr>
        <w:adjustRightInd w:val="0"/>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七、我方的联系方式：</w:t>
      </w:r>
    </w:p>
    <w:p>
      <w:pPr>
        <w:adjustRightInd w:val="0"/>
        <w:snapToGrid w:val="0"/>
        <w:spacing w:before="156" w:beforeLines="50" w:line="360" w:lineRule="auto"/>
        <w:ind w:firstLine="420" w:firstLineChars="20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spacing w:line="360" w:lineRule="auto"/>
        <w:ind w:right="24"/>
        <w:rPr>
          <w:rFonts w:hint="eastAsia" w:ascii="宋体" w:hAnsi="宋体"/>
          <w:bCs/>
          <w:color w:val="auto"/>
          <w:szCs w:val="21"/>
          <w:highlight w:val="none"/>
        </w:rPr>
      </w:pPr>
    </w:p>
    <w:p>
      <w:pPr>
        <w:adjustRightInd w:val="0"/>
        <w:snapToGrid w:val="0"/>
        <w:spacing w:line="360" w:lineRule="auto"/>
        <w:ind w:right="24"/>
        <w:rPr>
          <w:rFonts w:hint="eastAsia" w:ascii="宋体" w:hAnsi="宋体"/>
          <w:color w:val="auto"/>
          <w:szCs w:val="21"/>
          <w:highlight w:val="none"/>
        </w:rPr>
      </w:pPr>
      <w:r>
        <w:rPr>
          <w:rFonts w:hint="eastAsia" w:ascii="宋体" w:hAnsi="宋体"/>
          <w:bCs/>
          <w:color w:val="auto"/>
          <w:szCs w:val="21"/>
          <w:highlight w:val="none"/>
        </w:rPr>
        <w:t>附件1：</w:t>
      </w:r>
      <w:r>
        <w:rPr>
          <w:rFonts w:hint="eastAsia" w:ascii="宋体" w:hAnsi="宋体"/>
          <w:color w:val="auto"/>
          <w:szCs w:val="21"/>
          <w:highlight w:val="none"/>
        </w:rPr>
        <w:t>法定代表人身份证明(法定代表人参加询价)</w:t>
      </w:r>
    </w:p>
    <w:p>
      <w:pPr>
        <w:adjustRightInd w:val="0"/>
        <w:snapToGrid w:val="0"/>
        <w:spacing w:line="360" w:lineRule="auto"/>
        <w:ind w:right="24"/>
        <w:rPr>
          <w:rFonts w:hint="eastAsia" w:ascii="宋体" w:hAnsi="宋体"/>
          <w:color w:val="auto"/>
          <w:szCs w:val="21"/>
          <w:highlight w:val="none"/>
        </w:rPr>
      </w:pPr>
      <w:r>
        <w:rPr>
          <w:rFonts w:hint="eastAsia" w:ascii="宋体" w:hAnsi="宋体"/>
          <w:bCs/>
          <w:color w:val="auto"/>
          <w:szCs w:val="21"/>
          <w:highlight w:val="none"/>
        </w:rPr>
        <w:t>附件2</w:t>
      </w:r>
      <w:r>
        <w:rPr>
          <w:rFonts w:hint="eastAsia" w:ascii="宋体" w:hAnsi="宋体"/>
          <w:color w:val="auto"/>
          <w:szCs w:val="21"/>
          <w:highlight w:val="none"/>
        </w:rPr>
        <w:t>：法定代表人授权书(委托代理人参加询价)</w:t>
      </w:r>
    </w:p>
    <w:p>
      <w:pPr>
        <w:pStyle w:val="16"/>
        <w:adjustRightInd w:val="0"/>
        <w:snapToGrid w:val="0"/>
        <w:spacing w:line="360" w:lineRule="auto"/>
        <w:rPr>
          <w:rFonts w:hint="eastAsia" w:hAnsi="宋体"/>
          <w:color w:val="auto"/>
          <w:highlight w:val="none"/>
        </w:rPr>
      </w:pPr>
    </w:p>
    <w:p>
      <w:pPr>
        <w:pStyle w:val="16"/>
        <w:adjustRightInd w:val="0"/>
        <w:snapToGrid w:val="0"/>
        <w:spacing w:line="360" w:lineRule="auto"/>
        <w:rPr>
          <w:rFonts w:hint="eastAsia" w:hAnsi="宋体"/>
          <w:color w:val="auto"/>
          <w:highlight w:val="none"/>
        </w:rPr>
      </w:pPr>
      <w:r>
        <w:rPr>
          <w:rFonts w:hint="eastAsia" w:hAnsi="宋体"/>
          <w:color w:val="auto"/>
          <w:highlight w:val="none"/>
        </w:rPr>
        <w:t>供应商名称(盖单位章)：</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法定代表人或其委托代理人 (签字)：</w:t>
      </w:r>
      <w:r>
        <w:rPr>
          <w:rFonts w:hint="eastAsia" w:ascii="宋体" w:hAnsi="宋体"/>
          <w:color w:val="auto"/>
          <w:szCs w:val="21"/>
          <w:highlight w:val="none"/>
          <w:u w:val="single"/>
        </w:rPr>
        <w:t xml:space="preserve">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360" w:lineRule="auto"/>
        <w:ind w:right="24"/>
        <w:rPr>
          <w:rFonts w:hint="eastAsia" w:ascii="黑体" w:hAnsi="华文中宋" w:eastAsia="黑体"/>
          <w:bCs/>
          <w:color w:val="auto"/>
          <w:sz w:val="28"/>
          <w:szCs w:val="28"/>
          <w:highlight w:val="none"/>
        </w:rPr>
      </w:pPr>
    </w:p>
    <w:p>
      <w:pPr>
        <w:adjustRightInd w:val="0"/>
        <w:snapToGrid w:val="0"/>
        <w:spacing w:line="360" w:lineRule="auto"/>
        <w:ind w:right="24"/>
        <w:jc w:val="center"/>
        <w:rPr>
          <w:rFonts w:hint="eastAsia" w:ascii="方正小标宋_GBK" w:hAnsi="华文中宋" w:eastAsia="方正小标宋_GBK"/>
          <w:color w:val="auto"/>
          <w:sz w:val="36"/>
          <w:szCs w:val="36"/>
          <w:highlight w:val="none"/>
        </w:rPr>
      </w:pPr>
    </w:p>
    <w:p>
      <w:pPr>
        <w:adjustRightInd w:val="0"/>
        <w:snapToGrid w:val="0"/>
        <w:spacing w:line="360" w:lineRule="auto"/>
        <w:ind w:right="24"/>
        <w:jc w:val="center"/>
        <w:rPr>
          <w:rFonts w:hint="eastAsia" w:ascii="方正小标宋_GBK" w:hAnsi="华文中宋" w:eastAsia="方正小标宋_GBK"/>
          <w:color w:val="auto"/>
          <w:sz w:val="36"/>
          <w:szCs w:val="36"/>
          <w:highlight w:val="none"/>
        </w:rPr>
      </w:pPr>
    </w:p>
    <w:p>
      <w:pPr>
        <w:adjustRightInd w:val="0"/>
        <w:snapToGrid w:val="0"/>
        <w:spacing w:line="360" w:lineRule="auto"/>
        <w:ind w:right="24"/>
        <w:jc w:val="center"/>
        <w:rPr>
          <w:rFonts w:hint="eastAsia" w:ascii="方正小标宋_GBK" w:hAnsi="华文中宋" w:eastAsia="方正小标宋_GBK"/>
          <w:color w:val="auto"/>
          <w:sz w:val="36"/>
          <w:szCs w:val="36"/>
          <w:highlight w:val="none"/>
        </w:rPr>
      </w:pPr>
      <w:r>
        <w:rPr>
          <w:rFonts w:hint="eastAsia" w:ascii="方正小标宋_GBK" w:hAnsi="华文中宋" w:eastAsia="方正小标宋_GBK"/>
          <w:color w:val="auto"/>
          <w:sz w:val="36"/>
          <w:szCs w:val="36"/>
          <w:highlight w:val="none"/>
        </w:rPr>
        <w:t>法定代表人身份证明</w:t>
      </w:r>
    </w:p>
    <w:p>
      <w:pPr>
        <w:snapToGrid w:val="0"/>
        <w:spacing w:line="480" w:lineRule="auto"/>
        <w:rPr>
          <w:rFonts w:hint="eastAsia" w:ascii="宋体" w:hAnsi="宋体"/>
          <w:color w:val="auto"/>
          <w:szCs w:val="21"/>
          <w:highlight w:val="none"/>
        </w:rPr>
      </w:pP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olor w:val="auto"/>
          <w:szCs w:val="21"/>
          <w:highlight w:val="none"/>
        </w:rPr>
        <w:t>供应商</w:t>
      </w: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注册号：</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注册地址：</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成立时间：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年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经营范围：主营：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；兼营：</w:t>
      </w:r>
      <w:r>
        <w:rPr>
          <w:rFonts w:hint="eastAsia" w:ascii="宋体" w:hAnsi="宋体" w:cs="宋体"/>
          <w:color w:val="auto"/>
          <w:kern w:val="0"/>
          <w:szCs w:val="21"/>
          <w:highlight w:val="none"/>
          <w:u w:val="single"/>
        </w:rPr>
        <w:t xml:space="preserve">              </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年龄：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olor w:val="auto"/>
          <w:szCs w:val="21"/>
          <w:highlight w:val="none"/>
        </w:rPr>
        <w:t>供应商</w:t>
      </w:r>
      <w:r>
        <w:rPr>
          <w:rFonts w:hint="eastAsia" w:ascii="宋体" w:hAnsi="宋体" w:cs="宋体"/>
          <w:color w:val="auto"/>
          <w:kern w:val="0"/>
          <w:szCs w:val="21"/>
          <w:highlight w:val="none"/>
        </w:rPr>
        <w:t>名称）的法定代表人。</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autoSpaceDE w:val="0"/>
        <w:autoSpaceDN w:val="0"/>
        <w:adjustRightInd w:val="0"/>
        <w:snapToGrid w:val="0"/>
        <w:spacing w:before="156" w:beforeLines="50" w:line="360" w:lineRule="auto"/>
        <w:jc w:val="left"/>
        <w:rPr>
          <w:rFonts w:hint="eastAsia" w:ascii="宋体" w:hAnsi="宋体" w:cs="宋体"/>
          <w:color w:val="auto"/>
          <w:kern w:val="0"/>
          <w:szCs w:val="21"/>
          <w:highlight w:val="none"/>
        </w:rPr>
      </w:pPr>
      <w:r>
        <w:rPr>
          <w:rFonts w:hint="eastAsia" w:ascii="宋体" w:hAnsi="宋体"/>
          <w:color w:val="auto"/>
          <w:szCs w:val="21"/>
          <w:highlight w:val="none"/>
        </w:rPr>
        <w:t>附：法定代表人身份证复印件</w:t>
      </w:r>
    </w:p>
    <w:p>
      <w:pPr>
        <w:snapToGrid w:val="0"/>
        <w:spacing w:line="480" w:lineRule="auto"/>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供应商名称（盖单位章）：</w:t>
      </w:r>
    </w:p>
    <w:p>
      <w:pPr>
        <w:adjustRightInd w:val="0"/>
        <w:snapToGrid w:val="0"/>
        <w:spacing w:line="360" w:lineRule="auto"/>
        <w:ind w:right="420"/>
        <w:rPr>
          <w:rFonts w:hint="eastAsia" w:ascii="仿宋_GB2312" w:hAnsi="宋体" w:eastAsia="仿宋_GB2312"/>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pPr>
        <w:adjustRightInd w:val="0"/>
        <w:snapToGrid w:val="0"/>
        <w:spacing w:before="156" w:beforeLines="50" w:line="360" w:lineRule="auto"/>
        <w:rPr>
          <w:rFonts w:hint="eastAsia" w:ascii="仿宋_GB2312" w:hAnsi="宋体" w:eastAsia="仿宋_GB2312"/>
          <w:color w:val="auto"/>
          <w:szCs w:val="21"/>
          <w:highlight w:val="none"/>
        </w:rPr>
      </w:pPr>
    </w:p>
    <w:p>
      <w:pPr>
        <w:adjustRightInd w:val="0"/>
        <w:snapToGrid w:val="0"/>
        <w:spacing w:before="156" w:beforeLines="50" w:line="360" w:lineRule="auto"/>
        <w:rPr>
          <w:rFonts w:hint="eastAsia" w:ascii="仿宋_GB2312" w:hAnsi="宋体" w:eastAsia="仿宋_GB2312"/>
          <w:color w:val="auto"/>
          <w:szCs w:val="21"/>
          <w:highlight w:val="none"/>
        </w:rPr>
      </w:pPr>
    </w:p>
    <w:p>
      <w:pPr>
        <w:adjustRightInd w:val="0"/>
        <w:snapToGrid w:val="0"/>
        <w:spacing w:before="156" w:beforeLines="50" w:line="360" w:lineRule="auto"/>
        <w:rPr>
          <w:rFonts w:hint="eastAsia" w:ascii="黑体" w:hAnsi="宋体" w:eastAsia="黑体"/>
          <w:color w:val="auto"/>
          <w:sz w:val="32"/>
          <w:szCs w:val="32"/>
          <w:highlight w:val="none"/>
        </w:rPr>
      </w:pPr>
      <w:r>
        <w:rPr>
          <w:rFonts w:ascii="仿宋_GB2312" w:hAnsi="宋体" w:eastAsia="仿宋_GB2312"/>
          <w:color w:val="auto"/>
          <w:szCs w:val="21"/>
          <w:highlight w:val="none"/>
        </w:rPr>
        <w:br w:type="page"/>
      </w:r>
    </w:p>
    <w:p>
      <w:pPr>
        <w:adjustRightInd w:val="0"/>
        <w:snapToGrid w:val="0"/>
        <w:spacing w:line="360" w:lineRule="auto"/>
        <w:ind w:right="24"/>
        <w:jc w:val="center"/>
        <w:rPr>
          <w:rFonts w:hint="eastAsia" w:ascii="方正小标宋_GBK" w:hAnsi="华文中宋" w:eastAsia="方正小标宋_GBK"/>
          <w:color w:val="auto"/>
          <w:sz w:val="36"/>
          <w:szCs w:val="36"/>
          <w:highlight w:val="none"/>
        </w:rPr>
      </w:pPr>
      <w:r>
        <w:rPr>
          <w:rFonts w:hint="eastAsia" w:ascii="方正小标宋_GBK" w:hAnsi="宋体" w:eastAsia="方正小标宋_GBK"/>
          <w:color w:val="auto"/>
          <w:sz w:val="36"/>
          <w:szCs w:val="36"/>
          <w:highlight w:val="none"/>
        </w:rPr>
        <w:t>法定代表人</w:t>
      </w:r>
      <w:r>
        <w:rPr>
          <w:rFonts w:hint="eastAsia" w:ascii="方正小标宋_GBK" w:hAnsi="华文中宋" w:eastAsia="方正小标宋_GBK"/>
          <w:color w:val="auto"/>
          <w:sz w:val="36"/>
          <w:szCs w:val="36"/>
          <w:highlight w:val="none"/>
        </w:rPr>
        <w:t>授权书</w:t>
      </w:r>
    </w:p>
    <w:p>
      <w:pPr>
        <w:adjustRightInd w:val="0"/>
        <w:snapToGrid w:val="0"/>
        <w:spacing w:line="360" w:lineRule="auto"/>
        <w:jc w:val="center"/>
        <w:rPr>
          <w:rFonts w:hint="eastAsia" w:ascii="黑体" w:hAnsi="华文中宋" w:eastAsia="黑体"/>
          <w:b/>
          <w:color w:val="auto"/>
          <w:sz w:val="28"/>
          <w:szCs w:val="28"/>
          <w:highlight w:val="none"/>
        </w:rPr>
      </w:pPr>
    </w:p>
    <w:p>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olor w:val="auto"/>
          <w:szCs w:val="21"/>
          <w:highlight w:val="none"/>
        </w:rPr>
        <w:t>供应商</w:t>
      </w:r>
      <w:r>
        <w:rPr>
          <w:rFonts w:hint="eastAsia" w:ascii="宋体" w:hAnsi="宋体" w:cs="宋体"/>
          <w:color w:val="auto"/>
          <w:kern w:val="0"/>
          <w:szCs w:val="21"/>
          <w:highlight w:val="none"/>
        </w:rPr>
        <w:t>名称）的法定代表人，现授权</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（姓名、职务）为我方代理人。代理人根据授权，以我方名义：(1)签署、澄清、补正、修改、撤回、提交</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采购代理编号</w:t>
      </w:r>
      <w:r>
        <w:rPr>
          <w:rFonts w:hint="eastAsia" w:ascii="宋体" w:hAnsi="宋体" w:cs="宋体"/>
          <w:color w:val="auto"/>
          <w:kern w:val="0"/>
          <w:szCs w:val="21"/>
          <w:highlight w:val="none"/>
        </w:rPr>
        <w:t>）响应文件及报价； (2)签订合同和处理有关事宜，其法律后果由我方承担。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spacing w:line="360" w:lineRule="auto"/>
        <w:ind w:firstLine="435"/>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spacing w:line="360" w:lineRule="auto"/>
        <w:ind w:firstLine="435"/>
        <w:rPr>
          <w:rFonts w:hint="eastAsia" w:ascii="宋体" w:hAnsi="宋体"/>
          <w:color w:val="auto"/>
          <w:szCs w:val="21"/>
          <w:highlight w:val="none"/>
        </w:rPr>
      </w:pPr>
      <w:r>
        <w:rPr>
          <w:rFonts w:hint="eastAsia" w:ascii="宋体" w:hAnsi="宋体"/>
          <w:color w:val="auto"/>
          <w:szCs w:val="21"/>
          <w:highlight w:val="none"/>
        </w:rPr>
        <w:t>本授权书于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日签字生效，特此声明。</w:t>
      </w:r>
    </w:p>
    <w:p>
      <w:pPr>
        <w:adjustRightInd w:val="0"/>
        <w:snapToGrid w:val="0"/>
        <w:spacing w:before="156"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附：委托代理人身份证复印件及法定代表人身份证明(附件1，原件)</w:t>
      </w: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供应商名称（盖单位章）：</w:t>
      </w: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olor w:val="auto"/>
          <w:szCs w:val="21"/>
          <w:highlight w:val="none"/>
          <w:u w:val="single"/>
        </w:rPr>
        <w:t xml:space="preserve">                     </w:t>
      </w:r>
    </w:p>
    <w:p>
      <w:pPr>
        <w:adjustRightInd w:val="0"/>
        <w:snapToGrid w:val="0"/>
        <w:spacing w:line="360" w:lineRule="auto"/>
        <w:ind w:right="420"/>
        <w:rPr>
          <w:rFonts w:hint="eastAsia" w:ascii="宋体" w:hAnsi="宋体"/>
          <w:color w:val="auto"/>
          <w:szCs w:val="21"/>
          <w:highlight w:val="none"/>
        </w:rPr>
      </w:pPr>
      <w:r>
        <w:rPr>
          <w:rFonts w:hint="eastAsia" w:ascii="宋体" w:hAnsi="宋体"/>
          <w:color w:val="auto"/>
          <w:szCs w:val="21"/>
          <w:highlight w:val="none"/>
        </w:rPr>
        <w:t>委托代理人（签字）：</w:t>
      </w:r>
      <w:r>
        <w:rPr>
          <w:rFonts w:hint="eastAsia" w:ascii="宋体" w:hAnsi="宋体"/>
          <w:color w:val="auto"/>
          <w:szCs w:val="21"/>
          <w:highlight w:val="none"/>
          <w:u w:val="single"/>
        </w:rPr>
        <w:t xml:space="preserve">                     </w:t>
      </w:r>
    </w:p>
    <w:p>
      <w:pPr>
        <w:adjustRightInd w:val="0"/>
        <w:snapToGrid w:val="0"/>
        <w:spacing w:line="360" w:lineRule="auto"/>
        <w:ind w:right="24"/>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exact"/>
        <w:rPr>
          <w:rFonts w:hint="eastAsia" w:ascii="宋体"/>
          <w:b/>
          <w:color w:val="auto"/>
          <w:highlight w:val="none"/>
        </w:rPr>
      </w:pPr>
    </w:p>
    <w:p>
      <w:pPr>
        <w:spacing w:line="360" w:lineRule="exact"/>
        <w:rPr>
          <w:rFonts w:hint="eastAsia" w:ascii="宋体"/>
          <w:b/>
          <w:color w:val="auto"/>
          <w:highlight w:val="none"/>
        </w:rPr>
      </w:pPr>
    </w:p>
    <w:p>
      <w:pPr>
        <w:spacing w:line="360" w:lineRule="exact"/>
        <w:rPr>
          <w:rFonts w:hint="eastAsia" w:ascii="宋体"/>
          <w:b/>
          <w:color w:val="auto"/>
          <w:highlight w:val="none"/>
        </w:rPr>
      </w:pPr>
    </w:p>
    <w:p>
      <w:pPr>
        <w:spacing w:line="360" w:lineRule="exact"/>
        <w:rPr>
          <w:rFonts w:hint="eastAsia" w:ascii="宋体"/>
          <w:b/>
          <w:color w:val="auto"/>
          <w:highlight w:val="none"/>
        </w:rPr>
      </w:pPr>
    </w:p>
    <w:p>
      <w:pPr>
        <w:spacing w:line="360" w:lineRule="exact"/>
        <w:rPr>
          <w:rFonts w:hint="eastAsia" w:ascii="宋体"/>
          <w:b/>
          <w:color w:val="auto"/>
          <w:highlight w:val="none"/>
        </w:rPr>
      </w:pPr>
    </w:p>
    <w:p>
      <w:pPr>
        <w:pStyle w:val="16"/>
        <w:adjustRightInd w:val="0"/>
        <w:snapToGrid w:val="0"/>
        <w:spacing w:line="360" w:lineRule="auto"/>
        <w:jc w:val="center"/>
        <w:rPr>
          <w:rFonts w:hint="eastAsia" w:ascii="黑体" w:eastAsia="黑体"/>
          <w:b/>
          <w:color w:val="auto"/>
          <w:sz w:val="32"/>
          <w:szCs w:val="32"/>
          <w:highlight w:val="none"/>
        </w:rPr>
      </w:pPr>
    </w:p>
    <w:p>
      <w:pPr>
        <w:pStyle w:val="16"/>
        <w:adjustRightInd w:val="0"/>
        <w:snapToGrid w:val="0"/>
        <w:spacing w:line="360" w:lineRule="auto"/>
        <w:jc w:val="center"/>
        <w:rPr>
          <w:rFonts w:ascii="黑体" w:eastAsia="黑体"/>
          <w:b/>
          <w:color w:val="auto"/>
          <w:sz w:val="32"/>
          <w:szCs w:val="32"/>
          <w:highlight w:val="none"/>
        </w:rPr>
      </w:pPr>
    </w:p>
    <w:p>
      <w:pPr>
        <w:pStyle w:val="16"/>
        <w:adjustRightInd w:val="0"/>
        <w:snapToGrid w:val="0"/>
        <w:spacing w:line="360" w:lineRule="auto"/>
        <w:jc w:val="center"/>
        <w:rPr>
          <w:rFonts w:hint="eastAsia" w:ascii="黑体" w:eastAsia="黑体"/>
          <w:b/>
          <w:color w:val="auto"/>
          <w:sz w:val="32"/>
          <w:szCs w:val="32"/>
          <w:highlight w:val="none"/>
        </w:rPr>
      </w:pPr>
    </w:p>
    <w:p>
      <w:pPr>
        <w:adjustRightInd w:val="0"/>
        <w:snapToGrid w:val="0"/>
        <w:spacing w:line="360" w:lineRule="auto"/>
        <w:jc w:val="both"/>
        <w:rPr>
          <w:rFonts w:hint="eastAsia" w:ascii="黑体" w:hAnsi="宋体" w:eastAsia="黑体"/>
          <w:b/>
          <w:color w:val="auto"/>
          <w:sz w:val="32"/>
          <w:szCs w:val="32"/>
          <w:highlight w:val="none"/>
        </w:rPr>
      </w:pPr>
    </w:p>
    <w:p>
      <w:pPr>
        <w:adjustRightInd w:val="0"/>
        <w:snapToGrid w:val="0"/>
        <w:spacing w:line="360" w:lineRule="auto"/>
        <w:jc w:val="center"/>
        <w:rPr>
          <w:rFonts w:hint="eastAsia" w:ascii="黑体" w:hAnsi="宋体" w:eastAsia="黑体"/>
          <w:b/>
          <w:color w:val="auto"/>
          <w:sz w:val="32"/>
          <w:szCs w:val="32"/>
          <w:highlight w:val="none"/>
        </w:rPr>
      </w:pPr>
    </w:p>
    <w:p>
      <w:pPr>
        <w:adjustRightInd w:val="0"/>
        <w:snapToGrid w:val="0"/>
        <w:spacing w:line="360" w:lineRule="auto"/>
        <w:jc w:val="center"/>
        <w:rPr>
          <w:rFonts w:hint="eastAsia" w:ascii="黑体" w:hAnsi="宋体" w:eastAsia="黑体"/>
          <w:b/>
          <w:bCs/>
          <w:color w:val="auto"/>
          <w:sz w:val="32"/>
          <w:szCs w:val="32"/>
          <w:highlight w:val="none"/>
        </w:rPr>
      </w:pPr>
      <w:r>
        <w:rPr>
          <w:rFonts w:hint="eastAsia" w:ascii="黑体" w:hAnsi="宋体" w:eastAsia="黑体"/>
          <w:b/>
          <w:color w:val="auto"/>
          <w:sz w:val="32"/>
          <w:szCs w:val="32"/>
          <w:highlight w:val="none"/>
          <w:lang w:eastAsia="zh-CN"/>
        </w:rPr>
        <w:t>二</w:t>
      </w:r>
      <w:r>
        <w:rPr>
          <w:rFonts w:hint="eastAsia" w:ascii="黑体" w:eastAsia="黑体"/>
          <w:b/>
          <w:color w:val="auto"/>
          <w:sz w:val="32"/>
          <w:szCs w:val="32"/>
          <w:highlight w:val="none"/>
        </w:rPr>
        <w:t>、</w:t>
      </w:r>
      <w:r>
        <w:rPr>
          <w:rFonts w:hint="eastAsia" w:ascii="黑体" w:hAnsi="宋体" w:eastAsia="黑体"/>
          <w:b/>
          <w:color w:val="auto"/>
          <w:sz w:val="32"/>
          <w:szCs w:val="32"/>
          <w:highlight w:val="none"/>
        </w:rPr>
        <w:t>供应商</w:t>
      </w:r>
      <w:r>
        <w:rPr>
          <w:rFonts w:hint="eastAsia" w:ascii="黑体" w:hAnsi="宋体" w:eastAsia="黑体"/>
          <w:b/>
          <w:bCs/>
          <w:color w:val="auto"/>
          <w:sz w:val="32"/>
          <w:szCs w:val="32"/>
          <w:highlight w:val="none"/>
        </w:rPr>
        <w:t>的资格证明材料</w:t>
      </w:r>
    </w:p>
    <w:p>
      <w:pPr>
        <w:adjustRightInd w:val="0"/>
        <w:snapToGrid w:val="0"/>
        <w:spacing w:line="360" w:lineRule="auto"/>
        <w:jc w:val="center"/>
        <w:rPr>
          <w:rFonts w:hint="eastAsia" w:ascii="方正小标宋_GBK" w:eastAsia="方正小标宋_GBK"/>
          <w:color w:val="auto"/>
          <w:sz w:val="36"/>
          <w:szCs w:val="36"/>
          <w:highlight w:val="none"/>
        </w:rPr>
      </w:pPr>
      <w:r>
        <w:rPr>
          <w:rFonts w:hint="eastAsia" w:ascii="方正小标宋_GBK" w:hAnsi="宋体" w:eastAsia="方正小标宋_GBK"/>
          <w:color w:val="auto"/>
          <w:sz w:val="36"/>
          <w:szCs w:val="36"/>
          <w:highlight w:val="none"/>
        </w:rPr>
        <w:t>供应商</w:t>
      </w:r>
      <w:r>
        <w:rPr>
          <w:rFonts w:hint="eastAsia" w:ascii="方正小标宋_GBK" w:eastAsia="方正小标宋_GBK"/>
          <w:color w:val="auto"/>
          <w:sz w:val="36"/>
          <w:szCs w:val="36"/>
          <w:highlight w:val="none"/>
        </w:rPr>
        <w:t>基本情况表</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此处盖供应商单位章：</w:t>
      </w:r>
    </w:p>
    <w:tbl>
      <w:tblPr>
        <w:tblStyle w:val="29"/>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67"/>
        <w:gridCol w:w="25"/>
        <w:gridCol w:w="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供应商</w:t>
            </w:r>
            <w:r>
              <w:rPr>
                <w:rFonts w:ascii="宋体" w:hAnsi="宋体" w:eastAsia="宋体"/>
                <w:color w:val="auto"/>
                <w:szCs w:val="21"/>
                <w:highlight w:val="none"/>
              </w:rPr>
              <w:t>名称</w:t>
            </w:r>
          </w:p>
        </w:tc>
        <w:tc>
          <w:tcPr>
            <w:tcW w:w="3960" w:type="dxa"/>
            <w:gridSpan w:val="5"/>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329" w:type="dxa"/>
            <w:tcBorders>
              <w:top w:val="double" w:color="auto" w:sz="4"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ascii="宋体" w:hAnsi="宋体" w:eastAsia="宋体"/>
                <w:color w:val="auto"/>
                <w:szCs w:val="21"/>
                <w:highlight w:val="none"/>
              </w:rPr>
              <w:t>法定代表人</w:t>
            </w:r>
          </w:p>
        </w:tc>
        <w:tc>
          <w:tcPr>
            <w:tcW w:w="2101" w:type="dxa"/>
            <w:gridSpan w:val="3"/>
            <w:tcBorders>
              <w:top w:val="double" w:color="auto" w:sz="4"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11"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组织机构代码</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ascii="宋体" w:hAnsi="宋体" w:eastAsia="宋体"/>
                <w:color w:val="auto"/>
                <w:szCs w:val="21"/>
                <w:highlight w:val="none"/>
              </w:rPr>
              <w:t>邮政编码</w:t>
            </w:r>
          </w:p>
        </w:tc>
        <w:tc>
          <w:tcPr>
            <w:tcW w:w="2092"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委托代理</w:t>
            </w:r>
            <w:r>
              <w:rPr>
                <w:rFonts w:ascii="宋体" w:hAnsi="宋体" w:eastAsia="宋体"/>
                <w:color w:val="auto"/>
                <w:szCs w:val="21"/>
                <w:highlight w:val="none"/>
              </w:rPr>
              <w:t>人</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电子邮箱</w:t>
            </w:r>
          </w:p>
        </w:tc>
        <w:tc>
          <w:tcPr>
            <w:tcW w:w="2092"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olor w:val="auto"/>
                <w:szCs w:val="21"/>
                <w:highlight w:val="none"/>
              </w:rPr>
            </w:pPr>
          </w:p>
        </w:tc>
        <w:tc>
          <w:tcPr>
            <w:tcW w:w="1329"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员工总人数</w:t>
            </w:r>
          </w:p>
        </w:tc>
        <w:tc>
          <w:tcPr>
            <w:tcW w:w="2092"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hint="eastAsia"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restart"/>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421"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ind w:firstLine="105" w:firstLineChars="50"/>
              <w:jc w:val="center"/>
              <w:rPr>
                <w:rFonts w:ascii="宋体" w:hAnsi="宋体" w:eastAsia="宋体"/>
                <w:color w:val="auto"/>
                <w:szCs w:val="21"/>
                <w:highlight w:val="none"/>
              </w:rPr>
            </w:pPr>
            <w:r>
              <w:rPr>
                <w:rFonts w:hint="eastAsia" w:ascii="宋体" w:hAnsi="宋体" w:eastAsia="宋体"/>
                <w:color w:val="auto"/>
                <w:szCs w:val="21"/>
                <w:highlight w:val="none"/>
              </w:rPr>
              <w:t>发证日期</w:t>
            </w:r>
          </w:p>
        </w:tc>
        <w:tc>
          <w:tcPr>
            <w:tcW w:w="3396" w:type="dxa"/>
            <w:gridSpan w:val="2"/>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营业范围（主营）</w:t>
            </w:r>
          </w:p>
        </w:tc>
        <w:tc>
          <w:tcPr>
            <w:tcW w:w="623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营业范围（兼营）</w:t>
            </w:r>
          </w:p>
        </w:tc>
        <w:tc>
          <w:tcPr>
            <w:tcW w:w="623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ind w:firstLine="105" w:firstLineChars="50"/>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基本账户开户行及帐号</w:t>
            </w:r>
          </w:p>
        </w:tc>
        <w:tc>
          <w:tcPr>
            <w:tcW w:w="623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税务登记机关</w:t>
            </w:r>
          </w:p>
        </w:tc>
        <w:tc>
          <w:tcPr>
            <w:tcW w:w="6238" w:type="dxa"/>
            <w:gridSpan w:val="7"/>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ascii="宋体" w:hAnsi="宋体" w:eastAsia="宋体"/>
                <w:color w:val="auto"/>
                <w:szCs w:val="21"/>
                <w:highlight w:val="none"/>
              </w:rPr>
              <w:t>资质</w:t>
            </w:r>
            <w:r>
              <w:rPr>
                <w:rFonts w:hint="eastAsia" w:ascii="宋体" w:hAnsi="宋体" w:eastAsia="宋体"/>
                <w:color w:val="auto"/>
                <w:szCs w:val="21"/>
                <w:highlight w:val="none"/>
              </w:rPr>
              <w:t>名称</w:t>
            </w: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ascii="宋体" w:hAnsi="宋体" w:eastAsia="宋体"/>
                <w:color w:val="auto"/>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发证机关</w:t>
            </w:r>
          </w:p>
        </w:tc>
        <w:tc>
          <w:tcPr>
            <w:tcW w:w="3421"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r>
              <w:rPr>
                <w:rFonts w:hint="eastAsia" w:ascii="宋体" w:hAnsi="宋体" w:eastAsia="宋体"/>
                <w:color w:val="auto"/>
                <w:szCs w:val="21"/>
                <w:highlight w:val="none"/>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40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3421"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406" w:hRule="atLeast"/>
        </w:trPr>
        <w:tc>
          <w:tcPr>
            <w:tcW w:w="3613" w:type="dxa"/>
            <w:gridSpan w:val="5"/>
            <w:tcBorders>
              <w:top w:val="single" w:color="auto" w:sz="6" w:space="0"/>
              <w:left w:val="double" w:color="auto" w:sz="4"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p>
        </w:tc>
        <w:tc>
          <w:tcPr>
            <w:tcW w:w="3421" w:type="dxa"/>
            <w:gridSpan w:val="3"/>
            <w:tcBorders>
              <w:top w:val="single" w:color="auto" w:sz="6" w:space="0"/>
              <w:left w:val="single" w:color="auto" w:sz="6" w:space="0"/>
              <w:bottom w:val="single" w:color="auto" w:sz="6" w:space="0"/>
              <w:right w:val="double" w:color="auto" w:sz="4" w:space="0"/>
            </w:tcBorders>
            <w:noWrap w:val="0"/>
            <w:vAlign w:val="center"/>
          </w:tcPr>
          <w:p>
            <w:pPr>
              <w:topLinePunct/>
              <w:spacing w:line="440" w:lineRule="exact"/>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755" w:hRule="atLeast"/>
        </w:trPr>
        <w:tc>
          <w:tcPr>
            <w:tcW w:w="1258" w:type="dxa"/>
            <w:gridSpan w:val="2"/>
            <w:tcBorders>
              <w:top w:val="single" w:color="auto" w:sz="6" w:space="0"/>
              <w:left w:val="double" w:color="auto" w:sz="4" w:space="0"/>
              <w:bottom w:val="double" w:color="auto" w:sz="4" w:space="0"/>
              <w:right w:val="single" w:color="auto" w:sz="6" w:space="0"/>
            </w:tcBorders>
            <w:noWrap w:val="0"/>
            <w:vAlign w:val="center"/>
          </w:tcPr>
          <w:p>
            <w:pPr>
              <w:topLinePunct/>
              <w:spacing w:line="440" w:lineRule="exact"/>
              <w:jc w:val="center"/>
              <w:rPr>
                <w:rFonts w:ascii="宋体" w:hAnsi="宋体" w:eastAsia="宋体"/>
                <w:color w:val="auto"/>
                <w:szCs w:val="21"/>
                <w:highlight w:val="none"/>
              </w:rPr>
            </w:pPr>
            <w:r>
              <w:rPr>
                <w:rFonts w:ascii="宋体" w:hAnsi="宋体" w:eastAsia="宋体"/>
                <w:color w:val="auto"/>
                <w:szCs w:val="21"/>
                <w:highlight w:val="none"/>
              </w:rPr>
              <w:t>备注</w:t>
            </w:r>
          </w:p>
        </w:tc>
        <w:tc>
          <w:tcPr>
            <w:tcW w:w="7743" w:type="dxa"/>
            <w:gridSpan w:val="9"/>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line="240" w:lineRule="auto"/>
              <w:ind w:firstLine="420" w:firstLineChars="200"/>
              <w:textAlignment w:val="auto"/>
              <w:rPr>
                <w:rFonts w:hint="eastAsia" w:ascii="仿宋_GB2312" w:hAnsi="宋体" w:eastAsia="仿宋_GB2312"/>
                <w:b w:val="0"/>
                <w:bCs w:val="0"/>
                <w:color w:val="auto"/>
                <w:szCs w:val="21"/>
                <w:highlight w:val="none"/>
              </w:rPr>
            </w:pPr>
            <w:r>
              <w:rPr>
                <w:rFonts w:hint="eastAsia" w:ascii="仿宋_GB2312" w:hAnsi="宋体" w:eastAsia="仿宋_GB2312"/>
                <w:color w:val="auto"/>
                <w:szCs w:val="21"/>
                <w:highlight w:val="none"/>
              </w:rPr>
              <w:t>提供营业执照和组织机构代码证(副本复印件)</w:t>
            </w:r>
            <w:r>
              <w:rPr>
                <w:rFonts w:hint="eastAsia" w:ascii="仿宋_GB2312" w:hAnsi="宋体" w:eastAsia="仿宋_GB2312"/>
                <w:color w:val="auto"/>
                <w:szCs w:val="21"/>
                <w:highlight w:val="none"/>
                <w:lang w:eastAsia="zh-CN"/>
              </w:rPr>
              <w:t>及</w:t>
            </w:r>
            <w:r>
              <w:rPr>
                <w:rFonts w:hint="eastAsia" w:ascii="仿宋_GB2312" w:hAnsi="宋体" w:eastAsia="仿宋_GB2312"/>
                <w:b w:val="0"/>
                <w:bCs w:val="0"/>
                <w:color w:val="auto"/>
                <w:szCs w:val="21"/>
                <w:highlight w:val="none"/>
              </w:rPr>
              <w:t>供应商的资格要求</w:t>
            </w:r>
            <w:r>
              <w:rPr>
                <w:rFonts w:hint="eastAsia" w:ascii="仿宋_GB2312" w:hAnsi="宋体" w:eastAsia="仿宋_GB2312"/>
                <w:b w:val="0"/>
                <w:bCs w:val="0"/>
                <w:color w:val="auto"/>
                <w:szCs w:val="21"/>
                <w:highlight w:val="none"/>
                <w:lang w:eastAsia="zh-CN"/>
              </w:rPr>
              <w:t>资料，</w:t>
            </w:r>
          </w:p>
          <w:p>
            <w:pPr>
              <w:topLinePunct/>
              <w:spacing w:line="440" w:lineRule="exact"/>
              <w:rPr>
                <w:rFonts w:hint="eastAsia" w:ascii="仿宋_GB2312" w:hAnsi="宋体" w:eastAsia="仿宋_GB2312"/>
                <w:color w:val="auto"/>
                <w:szCs w:val="21"/>
                <w:highlight w:val="none"/>
              </w:rPr>
            </w:pPr>
            <w:r>
              <w:rPr>
                <w:rFonts w:hint="eastAsia" w:ascii="仿宋_GB2312" w:hAnsi="宋体" w:eastAsia="仿宋_GB2312"/>
                <w:color w:val="auto"/>
                <w:highlight w:val="none"/>
              </w:rPr>
              <w:t>其他资料按</w:t>
            </w:r>
            <w:r>
              <w:rPr>
                <w:rFonts w:hint="eastAsia" w:ascii="仿宋_GB2312" w:eastAsia="仿宋_GB2312"/>
                <w:color w:val="auto"/>
                <w:highlight w:val="none"/>
              </w:rPr>
              <w:t>第二章第</w:t>
            </w:r>
            <w:r>
              <w:rPr>
                <w:rFonts w:hint="eastAsia" w:ascii="仿宋_GB2312" w:hAnsi="宋体" w:eastAsia="仿宋_GB2312"/>
                <w:color w:val="auto"/>
                <w:highlight w:val="none"/>
              </w:rPr>
              <w:t>39.1款</w:t>
            </w:r>
            <w:r>
              <w:rPr>
                <w:rFonts w:hint="eastAsia" w:ascii="仿宋_GB2312" w:eastAsia="仿宋_GB2312"/>
                <w:color w:val="auto"/>
                <w:highlight w:val="none"/>
              </w:rPr>
              <w:t>或</w:t>
            </w:r>
            <w:r>
              <w:rPr>
                <w:rFonts w:hint="eastAsia" w:ascii="仿宋_GB2312" w:hAnsi="宋体" w:eastAsia="仿宋_GB2312"/>
                <w:color w:val="auto"/>
                <w:highlight w:val="none"/>
              </w:rPr>
              <w:t>第四章要求提供。</w:t>
            </w:r>
          </w:p>
        </w:tc>
      </w:tr>
    </w:tbl>
    <w:p>
      <w:pPr>
        <w:spacing w:line="480" w:lineRule="exact"/>
        <w:rPr>
          <w:rFonts w:hint="eastAsia" w:ascii="黑体" w:eastAsia="黑体"/>
          <w:color w:val="auto"/>
          <w:sz w:val="32"/>
          <w:szCs w:val="32"/>
          <w:highlight w:val="none"/>
        </w:rPr>
      </w:pPr>
    </w:p>
    <w:p>
      <w:pPr>
        <w:spacing w:line="480" w:lineRule="exact"/>
        <w:rPr>
          <w:rFonts w:hint="eastAsia" w:ascii="黑体" w:eastAsia="黑体"/>
          <w:color w:val="auto"/>
          <w:sz w:val="32"/>
          <w:szCs w:val="32"/>
          <w:highlight w:val="none"/>
        </w:rPr>
      </w:pPr>
    </w:p>
    <w:p>
      <w:pPr>
        <w:spacing w:line="480" w:lineRule="exact"/>
        <w:rPr>
          <w:rFonts w:hint="eastAsia" w:ascii="黑体" w:eastAsia="黑体"/>
          <w:color w:val="auto"/>
          <w:sz w:val="32"/>
          <w:szCs w:val="32"/>
          <w:highlight w:val="none"/>
        </w:rPr>
      </w:pPr>
    </w:p>
    <w:p>
      <w:pPr>
        <w:spacing w:line="480" w:lineRule="exact"/>
        <w:rPr>
          <w:rFonts w:hint="eastAsia" w:ascii="黑体" w:eastAsia="黑体"/>
          <w:color w:val="auto"/>
          <w:sz w:val="32"/>
          <w:szCs w:val="32"/>
          <w:highlight w:val="none"/>
        </w:rPr>
      </w:pPr>
    </w:p>
    <w:p>
      <w:pPr>
        <w:spacing w:line="480" w:lineRule="exact"/>
        <w:rPr>
          <w:rFonts w:hint="eastAsia" w:ascii="黑体" w:eastAsia="黑体"/>
          <w:color w:val="auto"/>
          <w:sz w:val="32"/>
          <w:szCs w:val="32"/>
          <w:highlight w:val="none"/>
        </w:rPr>
      </w:pPr>
    </w:p>
    <w:p>
      <w:pPr>
        <w:spacing w:line="480" w:lineRule="exact"/>
        <w:rPr>
          <w:rFonts w:hint="eastAsia" w:ascii="黑体" w:eastAsia="黑体"/>
          <w:color w:val="auto"/>
          <w:sz w:val="32"/>
          <w:szCs w:val="32"/>
          <w:highlight w:val="none"/>
        </w:rPr>
      </w:pPr>
    </w:p>
    <w:p>
      <w:pPr>
        <w:spacing w:line="480" w:lineRule="exact"/>
        <w:rPr>
          <w:rFonts w:hint="eastAsia" w:ascii="黑体" w:eastAsia="黑体"/>
          <w:color w:val="auto"/>
          <w:sz w:val="32"/>
          <w:szCs w:val="32"/>
          <w:highlight w:val="none"/>
        </w:rPr>
      </w:pPr>
    </w:p>
    <w:p>
      <w:pPr>
        <w:adjustRightInd w:val="0"/>
        <w:snapToGrid w:val="0"/>
        <w:spacing w:line="360" w:lineRule="auto"/>
        <w:jc w:val="center"/>
        <w:rPr>
          <w:rFonts w:hint="eastAsia" w:ascii="方正小标宋_GBK" w:hAnsi="宋体" w:eastAsia="方正小标宋_GBK"/>
          <w:color w:val="auto"/>
          <w:sz w:val="36"/>
          <w:szCs w:val="36"/>
          <w:highlight w:val="none"/>
        </w:rPr>
      </w:pPr>
    </w:p>
    <w:p>
      <w:pPr>
        <w:adjustRightInd w:val="0"/>
        <w:snapToGrid w:val="0"/>
        <w:spacing w:line="360" w:lineRule="auto"/>
        <w:jc w:val="center"/>
        <w:rPr>
          <w:rFonts w:hint="eastAsia"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供应商的资格条件更新材料</w:t>
      </w:r>
    </w:p>
    <w:p>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说明：</w:t>
      </w:r>
      <w:r>
        <w:rPr>
          <w:rFonts w:hint="eastAsia" w:ascii="宋体" w:hAnsi="宋体" w:cs="宋体"/>
          <w:color w:val="auto"/>
          <w:kern w:val="0"/>
          <w:szCs w:val="21"/>
          <w:highlight w:val="none"/>
          <w:lang w:val="zh-CN"/>
        </w:rPr>
        <w:t>供应商根据询价通知书第二章第16.1项“</w:t>
      </w:r>
      <w:r>
        <w:rPr>
          <w:rFonts w:hint="eastAsia" w:ascii="宋体" w:hAnsi="宋体"/>
          <w:color w:val="auto"/>
          <w:szCs w:val="21"/>
          <w:highlight w:val="none"/>
        </w:rPr>
        <w:t>在询价</w:t>
      </w:r>
      <w:r>
        <w:rPr>
          <w:rFonts w:hint="eastAsia" w:ascii="宋体" w:hAnsi="宋体"/>
          <w:bCs/>
          <w:color w:val="auto"/>
          <w:szCs w:val="21"/>
          <w:highlight w:val="none"/>
        </w:rPr>
        <w:t>小组确定邀请供应商名单起</w:t>
      </w:r>
      <w:r>
        <w:rPr>
          <w:rFonts w:hint="eastAsia" w:ascii="宋体" w:hAnsi="宋体"/>
          <w:color w:val="auto"/>
          <w:szCs w:val="21"/>
          <w:highlight w:val="none"/>
        </w:rPr>
        <w:t>至</w:t>
      </w:r>
      <w:r>
        <w:rPr>
          <w:rFonts w:hint="eastAsia" w:ascii="宋体" w:hAnsi="宋体" w:cs="宋体"/>
          <w:color w:val="auto"/>
          <w:kern w:val="0"/>
          <w:szCs w:val="21"/>
          <w:highlight w:val="none"/>
        </w:rPr>
        <w:t>提交响应文件</w:t>
      </w:r>
      <w:r>
        <w:rPr>
          <w:rFonts w:hint="eastAsia" w:ascii="宋体" w:hAnsi="宋体"/>
          <w:color w:val="auto"/>
          <w:szCs w:val="21"/>
          <w:highlight w:val="none"/>
        </w:rPr>
        <w:t>止，供应商资格条件发生重大变化，可能影响资格条件的，供应商应更新或者补充提供的资格证明材料，以证实其各项条件仍能继续满足本章第3.1项规定的供应商资格条件要求</w:t>
      </w:r>
      <w:r>
        <w:rPr>
          <w:rFonts w:hint="eastAsia" w:ascii="宋体" w:hAnsi="宋体" w:cs="宋体"/>
          <w:color w:val="auto"/>
          <w:kern w:val="0"/>
          <w:szCs w:val="21"/>
          <w:highlight w:val="none"/>
          <w:lang w:val="zh-CN"/>
        </w:rPr>
        <w:t>”的规定，应</w:t>
      </w:r>
      <w:r>
        <w:rPr>
          <w:rFonts w:hint="eastAsia" w:ascii="宋体" w:hAnsi="宋体"/>
          <w:color w:val="auto"/>
          <w:szCs w:val="21"/>
          <w:highlight w:val="none"/>
        </w:rPr>
        <w:t>提供的更新或者补充资格证明材料。</w:t>
      </w:r>
    </w:p>
    <w:p>
      <w:pPr>
        <w:pStyle w:val="2"/>
        <w:rPr>
          <w:rFonts w:ascii="Times New Roman" w:hAnsi="Times New Roman"/>
          <w:color w:val="auto"/>
          <w:highlight w:val="none"/>
        </w:rPr>
      </w:pPr>
    </w:p>
    <w:p>
      <w:pPr>
        <w:pStyle w:val="2"/>
        <w:rPr>
          <w:rFonts w:hint="eastAsia" w:ascii="Times New Roman" w:hAnsi="Times New Roman"/>
          <w:color w:val="auto"/>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adjustRightInd w:val="0"/>
        <w:snapToGrid w:val="0"/>
        <w:spacing w:line="360" w:lineRule="auto"/>
        <w:rPr>
          <w:rFonts w:ascii="宋体" w:hAnsi="宋体"/>
          <w:b/>
          <w:bCs/>
          <w:color w:val="auto"/>
          <w:szCs w:val="21"/>
          <w:highlight w:val="none"/>
        </w:rPr>
      </w:pPr>
    </w:p>
    <w:p>
      <w:pPr>
        <w:pStyle w:val="47"/>
        <w:rPr>
          <w:rFonts w:ascii="宋体" w:hAnsi="宋体"/>
          <w:b/>
          <w:bCs/>
          <w:color w:val="auto"/>
          <w:szCs w:val="21"/>
          <w:highlight w:val="none"/>
        </w:rPr>
      </w:pPr>
    </w:p>
    <w:p>
      <w:pPr>
        <w:rPr>
          <w:rFonts w:ascii="宋体" w:hAnsi="宋体"/>
          <w:b/>
          <w:bCs/>
          <w:color w:val="auto"/>
          <w:szCs w:val="21"/>
          <w:highlight w:val="none"/>
        </w:rPr>
      </w:pPr>
    </w:p>
    <w:p>
      <w:pPr>
        <w:pStyle w:val="47"/>
        <w:rPr>
          <w:rFonts w:ascii="宋体" w:hAnsi="宋体"/>
          <w:b/>
          <w:bCs/>
          <w:color w:val="auto"/>
          <w:szCs w:val="21"/>
          <w:highlight w:val="none"/>
        </w:rPr>
      </w:pPr>
    </w:p>
    <w:p>
      <w:pPr>
        <w:rPr>
          <w:rFonts w:ascii="宋体" w:hAnsi="宋体"/>
          <w:b/>
          <w:bCs/>
          <w:color w:val="auto"/>
          <w:szCs w:val="21"/>
          <w:highlight w:val="none"/>
        </w:rPr>
      </w:pPr>
    </w:p>
    <w:p>
      <w:pPr>
        <w:pStyle w:val="47"/>
        <w:rPr>
          <w:rFonts w:ascii="宋体" w:hAnsi="宋体"/>
          <w:b/>
          <w:bCs/>
          <w:color w:val="auto"/>
          <w:szCs w:val="21"/>
          <w:highlight w:val="none"/>
        </w:rPr>
      </w:pPr>
    </w:p>
    <w:p>
      <w:pPr>
        <w:rPr>
          <w:rFonts w:ascii="宋体" w:hAnsi="宋体"/>
          <w:b/>
          <w:bCs/>
          <w:color w:val="auto"/>
          <w:szCs w:val="21"/>
          <w:highlight w:val="none"/>
        </w:rPr>
      </w:pPr>
    </w:p>
    <w:p>
      <w:pPr>
        <w:pStyle w:val="47"/>
        <w:rPr>
          <w:rFonts w:ascii="宋体" w:hAnsi="宋体"/>
          <w:b/>
          <w:bCs/>
          <w:color w:val="auto"/>
          <w:szCs w:val="21"/>
          <w:highlight w:val="none"/>
        </w:rPr>
      </w:pPr>
    </w:p>
    <w:p>
      <w:pPr>
        <w:rPr>
          <w:color w:val="auto"/>
          <w:highlight w:val="none"/>
        </w:rPr>
      </w:pPr>
    </w:p>
    <w:p>
      <w:pPr>
        <w:pStyle w:val="47"/>
        <w:rPr>
          <w:color w:val="auto"/>
          <w:highlight w:val="none"/>
        </w:rPr>
      </w:pPr>
    </w:p>
    <w:p>
      <w:pPr>
        <w:pStyle w:val="27"/>
        <w:numPr>
          <w:ilvl w:val="0"/>
          <w:numId w:val="0"/>
        </w:numPr>
        <w:jc w:val="center"/>
        <w:rPr>
          <w:rFonts w:ascii="宋体" w:hAnsi="宋体" w:cs="宋体"/>
          <w:b/>
          <w:bCs/>
          <w:color w:val="auto"/>
          <w:kern w:val="0"/>
          <w:sz w:val="28"/>
          <w:szCs w:val="28"/>
          <w:highlight w:val="none"/>
          <w:shd w:val="clear" w:color="auto" w:fill="FFFFFF"/>
        </w:rPr>
      </w:pPr>
      <w:r>
        <w:rPr>
          <w:rFonts w:hint="eastAsia" w:ascii="宋体" w:hAnsi="宋体" w:cs="宋体"/>
          <w:b/>
          <w:bCs/>
          <w:color w:val="auto"/>
          <w:kern w:val="0"/>
          <w:sz w:val="28"/>
          <w:szCs w:val="28"/>
          <w:highlight w:val="none"/>
          <w:shd w:val="clear" w:color="auto" w:fill="FFFFFF"/>
        </w:rPr>
        <w:t>具备履行合同所必需的设备和专业技术能力的承诺书（格式）</w:t>
      </w:r>
    </w:p>
    <w:p>
      <w:pPr>
        <w:pStyle w:val="27"/>
        <w:ind w:firstLine="0" w:firstLineChars="0"/>
        <w:rPr>
          <w:rFonts w:ascii="宋体" w:hAnsi="宋体"/>
          <w:b/>
          <w:bCs/>
          <w:color w:val="auto"/>
          <w:szCs w:val="21"/>
          <w:highlight w:val="none"/>
        </w:rPr>
      </w:pPr>
    </w:p>
    <w:p>
      <w:pPr>
        <w:adjustRightInd w:val="0"/>
        <w:snapToGrid w:val="0"/>
        <w:spacing w:before="156" w:beforeLines="50" w:line="360" w:lineRule="auto"/>
        <w:ind w:left="-88" w:leftChars="-42"/>
        <w:outlineLvl w:val="0"/>
        <w:rPr>
          <w:rFonts w:hint="eastAsia" w:ascii="宋体" w:hAnsi="宋体" w:cs="宋体"/>
          <w:color w:val="auto"/>
          <w:szCs w:val="21"/>
          <w:highlight w:val="none"/>
        </w:rPr>
      </w:pPr>
    </w:p>
    <w:p>
      <w:pPr>
        <w:adjustRightInd w:val="0"/>
        <w:snapToGrid w:val="0"/>
        <w:spacing w:before="156" w:beforeLines="50" w:line="360" w:lineRule="auto"/>
        <w:ind w:left="-88" w:leftChars="-42"/>
        <w:outlineLvl w:val="0"/>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lang w:eastAsia="zh-CN"/>
        </w:rPr>
        <w:t>采购人</w:t>
      </w:r>
      <w:r>
        <w:rPr>
          <w:rFonts w:hint="eastAsia" w:ascii="宋体" w:hAnsi="宋体" w:cs="宋体"/>
          <w:color w:val="auto"/>
          <w:szCs w:val="21"/>
          <w:highlight w:val="none"/>
        </w:rPr>
        <w:t>)：</w:t>
      </w:r>
    </w:p>
    <w:p>
      <w:pPr>
        <w:rPr>
          <w:color w:val="auto"/>
          <w:highlight w:val="none"/>
        </w:rPr>
      </w:pPr>
    </w:p>
    <w:p>
      <w:pPr>
        <w:spacing w:line="500" w:lineRule="exact"/>
        <w:ind w:firstLine="840" w:firstLineChars="4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我公司具备履行本项目合同所必需的设备和专业技术能力。</w:t>
      </w:r>
    </w:p>
    <w:p>
      <w:pPr>
        <w:spacing w:line="500" w:lineRule="exact"/>
        <w:ind w:firstLine="420" w:firstLineChars="200"/>
        <w:rPr>
          <w:rFonts w:asciiTheme="minorEastAsia" w:hAnsiTheme="minorEastAsia" w:eastAsiaTheme="minorEastAsia" w:cstheme="minorEastAsia"/>
          <w:bCs/>
          <w:color w:val="auto"/>
          <w:szCs w:val="21"/>
          <w:highlight w:val="none"/>
        </w:rPr>
      </w:pPr>
    </w:p>
    <w:p>
      <w:pPr>
        <w:spacing w:line="50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特此声明</w:t>
      </w:r>
      <w:r>
        <w:rPr>
          <w:rFonts w:hint="eastAsia" w:ascii="宋体" w:hAnsi="宋体" w:cs="宋体"/>
          <w:color w:val="auto"/>
          <w:szCs w:val="21"/>
          <w:highlight w:val="none"/>
        </w:rPr>
        <w:t>、承诺</w:t>
      </w:r>
      <w:r>
        <w:rPr>
          <w:rFonts w:hint="eastAsia" w:asciiTheme="minorEastAsia" w:hAnsiTheme="minorEastAsia" w:eastAsiaTheme="minorEastAsia" w:cstheme="minorEastAsia"/>
          <w:bCs/>
          <w:color w:val="auto"/>
          <w:szCs w:val="21"/>
          <w:highlight w:val="none"/>
        </w:rPr>
        <w:t>！</w:t>
      </w: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widowControl/>
        <w:adjustRightInd w:val="0"/>
        <w:snapToGrid w:val="0"/>
        <w:spacing w:line="440" w:lineRule="exact"/>
        <w:jc w:val="left"/>
        <w:rPr>
          <w:rFonts w:ascii="宋体" w:hAnsi="宋体" w:cs="宋体"/>
          <w:color w:val="auto"/>
          <w:szCs w:val="21"/>
          <w:highlight w:val="none"/>
        </w:rPr>
      </w:pPr>
    </w:p>
    <w:p>
      <w:pPr>
        <w:widowControl/>
        <w:adjustRightInd w:val="0"/>
        <w:snapToGrid w:val="0"/>
        <w:spacing w:line="440" w:lineRule="exact"/>
        <w:jc w:val="left"/>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供应商名称（盖单位公章）：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480" w:lineRule="auto"/>
        <w:jc w:val="left"/>
        <w:textAlignment w:val="auto"/>
        <w:rPr>
          <w:rFonts w:ascii="宋体" w:hAnsi="宋体"/>
          <w:color w:val="auto"/>
          <w:highlight w:val="none"/>
        </w:rPr>
      </w:pPr>
      <w:r>
        <w:rPr>
          <w:rFonts w:hint="eastAsia" w:ascii="宋体" w:hAnsi="宋体"/>
          <w:color w:val="auto"/>
          <w:highlight w:val="none"/>
        </w:rPr>
        <w:t>法定代表人（单位负责人）或其</w:t>
      </w:r>
      <w:r>
        <w:rPr>
          <w:rFonts w:hint="eastAsia" w:ascii="宋体" w:hAnsi="宋体"/>
          <w:color w:val="auto"/>
          <w:highlight w:val="none"/>
          <w:lang w:val="en-US" w:eastAsia="zh-CN"/>
        </w:rPr>
        <w:t>授权的</w:t>
      </w:r>
      <w:r>
        <w:rPr>
          <w:rFonts w:hint="eastAsia" w:ascii="宋体" w:hAnsi="宋体"/>
          <w:color w:val="auto"/>
          <w:highlight w:val="none"/>
        </w:rPr>
        <w:t>代理人（签字或印章）：</w:t>
      </w:r>
      <w:r>
        <w:rPr>
          <w:rFonts w:hint="eastAsia" w:ascii="宋体" w:hAnsi="宋体"/>
          <w:color w:val="auto"/>
          <w:highlight w:val="none"/>
          <w:u w:val="single"/>
        </w:rPr>
        <w:t xml:space="preserve">       </w:t>
      </w:r>
    </w:p>
    <w:p>
      <w:pPr>
        <w:rPr>
          <w:rFonts w:hAnsi="华文中宋" w:eastAsia="黑体" w:cs="宋体"/>
          <w:color w:val="auto"/>
          <w:spacing w:val="6"/>
          <w:kern w:val="0"/>
          <w:highlight w:val="none"/>
        </w:rPr>
      </w:pPr>
      <w:r>
        <w:rPr>
          <w:rFonts w:hint="eastAsia"/>
          <w:color w:val="auto"/>
          <w:highlight w:val="none"/>
        </w:rPr>
        <w:t xml:space="preserve">日期：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adjustRightInd w:val="0"/>
        <w:snapToGrid w:val="0"/>
        <w:spacing w:before="156" w:beforeLines="50" w:line="360" w:lineRule="auto"/>
        <w:outlineLvl w:val="0"/>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b/>
          <w:bCs/>
          <w:color w:val="auto"/>
          <w:sz w:val="32"/>
          <w:szCs w:val="32"/>
          <w:highlight w:val="none"/>
        </w:rPr>
      </w:pPr>
    </w:p>
    <w:p>
      <w:pPr>
        <w:spacing w:line="440" w:lineRule="exact"/>
        <w:rPr>
          <w:rFonts w:ascii="黑体" w:eastAsia="黑体"/>
          <w:color w:val="auto"/>
          <w:sz w:val="32"/>
          <w:szCs w:val="32"/>
          <w:highlight w:val="none"/>
        </w:rPr>
      </w:pPr>
    </w:p>
    <w:p>
      <w:pPr>
        <w:spacing w:line="440" w:lineRule="exact"/>
        <w:rPr>
          <w:rFonts w:ascii="黑体" w:eastAsia="黑体"/>
          <w:color w:val="auto"/>
          <w:sz w:val="32"/>
          <w:szCs w:val="32"/>
          <w:highlight w:val="none"/>
        </w:rPr>
      </w:pPr>
    </w:p>
    <w:p>
      <w:pPr>
        <w:spacing w:line="440" w:lineRule="exact"/>
        <w:rPr>
          <w:rFonts w:ascii="黑体" w:eastAsia="黑体"/>
          <w:color w:val="auto"/>
          <w:sz w:val="32"/>
          <w:szCs w:val="32"/>
          <w:highlight w:val="none"/>
        </w:rPr>
      </w:pPr>
    </w:p>
    <w:p>
      <w:pPr>
        <w:spacing w:line="440" w:lineRule="exact"/>
        <w:rPr>
          <w:rFonts w:ascii="黑体" w:eastAsia="黑体"/>
          <w:color w:val="auto"/>
          <w:sz w:val="32"/>
          <w:szCs w:val="32"/>
          <w:highlight w:val="none"/>
        </w:rPr>
      </w:pPr>
    </w:p>
    <w:p>
      <w:pPr>
        <w:spacing w:line="440" w:lineRule="exact"/>
        <w:rPr>
          <w:rFonts w:ascii="黑体" w:eastAsia="黑体"/>
          <w:color w:val="auto"/>
          <w:sz w:val="32"/>
          <w:szCs w:val="32"/>
          <w:highlight w:val="none"/>
        </w:rPr>
      </w:pPr>
    </w:p>
    <w:p>
      <w:pPr>
        <w:pStyle w:val="2"/>
        <w:rPr>
          <w:color w:val="auto"/>
          <w:highlight w:val="none"/>
        </w:rPr>
      </w:pPr>
    </w:p>
    <w:p>
      <w:pPr>
        <w:spacing w:line="440" w:lineRule="exact"/>
        <w:rPr>
          <w:rFonts w:ascii="宋体" w:hAnsi="宋体"/>
          <w:b/>
          <w:bCs/>
          <w:color w:val="auto"/>
          <w:szCs w:val="21"/>
          <w:highlight w:val="none"/>
        </w:rPr>
      </w:pPr>
    </w:p>
    <w:p>
      <w:pPr>
        <w:pStyle w:val="2"/>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 xml:space="preserve"> </w:t>
      </w:r>
    </w:p>
    <w:p>
      <w:pPr>
        <w:rPr>
          <w:rFonts w:hint="eastAsia"/>
          <w:color w:val="auto"/>
          <w:highlight w:val="none"/>
          <w:lang w:eastAsia="zh-CN"/>
        </w:rPr>
      </w:pPr>
    </w:p>
    <w:p>
      <w:pPr>
        <w:adjustRightInd w:val="0"/>
        <w:snapToGrid w:val="0"/>
        <w:spacing w:line="360" w:lineRule="auto"/>
        <w:ind w:firstLine="281" w:firstLineChars="100"/>
        <w:rPr>
          <w:rFonts w:hint="eastAsia" w:ascii="宋体" w:hAnsi="宋体" w:cs="宋体"/>
          <w:b/>
          <w:bCs/>
          <w:color w:val="auto"/>
          <w:kern w:val="0"/>
          <w:sz w:val="28"/>
          <w:szCs w:val="28"/>
          <w:highlight w:val="none"/>
          <w:shd w:val="clear" w:color="auto" w:fill="FFFFFF"/>
        </w:rPr>
      </w:pPr>
    </w:p>
    <w:p>
      <w:pPr>
        <w:adjustRightInd w:val="0"/>
        <w:snapToGrid w:val="0"/>
        <w:spacing w:line="360" w:lineRule="auto"/>
        <w:ind w:firstLine="281" w:firstLineChars="100"/>
        <w:rPr>
          <w:rFonts w:ascii="宋体" w:hAnsi="宋体" w:cs="宋体"/>
          <w:b/>
          <w:bCs/>
          <w:color w:val="auto"/>
          <w:kern w:val="0"/>
          <w:sz w:val="28"/>
          <w:szCs w:val="28"/>
          <w:highlight w:val="none"/>
          <w:shd w:val="clear" w:color="auto" w:fill="FFFFFF"/>
        </w:rPr>
      </w:pPr>
      <w:r>
        <w:rPr>
          <w:rFonts w:hint="eastAsia" w:ascii="宋体" w:hAnsi="宋体" w:cs="宋体"/>
          <w:b/>
          <w:bCs/>
          <w:color w:val="auto"/>
          <w:kern w:val="0"/>
          <w:sz w:val="28"/>
          <w:szCs w:val="28"/>
          <w:highlight w:val="none"/>
          <w:shd w:val="clear" w:color="auto" w:fill="FFFFFF"/>
        </w:rPr>
        <w:t>参加政府采购活动前三年内在经营活动中没有重大违法记录的</w:t>
      </w:r>
    </w:p>
    <w:p>
      <w:pPr>
        <w:adjustRightInd w:val="0"/>
        <w:snapToGrid w:val="0"/>
        <w:spacing w:line="360" w:lineRule="auto"/>
        <w:ind w:firstLine="3373" w:firstLineChars="1200"/>
        <w:rPr>
          <w:rFonts w:hint="eastAsia" w:eastAsia="宋体" w:asciiTheme="minorEastAsia" w:hAnsiTheme="minorEastAsia" w:cstheme="minorEastAsia"/>
          <w:b/>
          <w:color w:val="auto"/>
          <w:sz w:val="28"/>
          <w:szCs w:val="28"/>
          <w:highlight w:val="none"/>
          <w:lang w:eastAsia="zh-CN"/>
        </w:rPr>
      </w:pPr>
      <w:r>
        <w:rPr>
          <w:rFonts w:hint="eastAsia" w:ascii="宋体" w:hAnsi="宋体" w:cs="宋体"/>
          <w:b/>
          <w:bCs/>
          <w:color w:val="auto"/>
          <w:kern w:val="0"/>
          <w:sz w:val="28"/>
          <w:szCs w:val="28"/>
          <w:highlight w:val="none"/>
          <w:shd w:val="clear" w:color="auto" w:fill="FFFFFF"/>
        </w:rPr>
        <w:t>承诺书</w:t>
      </w:r>
      <w:r>
        <w:rPr>
          <w:rFonts w:hint="eastAsia" w:ascii="宋体" w:hAnsi="宋体" w:cs="宋体"/>
          <w:b/>
          <w:bCs/>
          <w:color w:val="auto"/>
          <w:kern w:val="0"/>
          <w:sz w:val="28"/>
          <w:szCs w:val="28"/>
          <w:highlight w:val="none"/>
          <w:shd w:val="clear" w:color="auto" w:fill="FFFFFF"/>
          <w:lang w:eastAsia="zh-CN"/>
        </w:rPr>
        <w:t>（</w:t>
      </w:r>
      <w:r>
        <w:rPr>
          <w:rFonts w:hint="eastAsia" w:ascii="宋体" w:hAnsi="宋体" w:cs="宋体"/>
          <w:b/>
          <w:bCs/>
          <w:color w:val="auto"/>
          <w:kern w:val="0"/>
          <w:sz w:val="28"/>
          <w:szCs w:val="28"/>
          <w:highlight w:val="none"/>
          <w:shd w:val="clear" w:color="auto" w:fill="FFFFFF"/>
          <w:lang w:val="en-US" w:eastAsia="zh-CN"/>
        </w:rPr>
        <w:t>格式</w:t>
      </w:r>
      <w:r>
        <w:rPr>
          <w:rFonts w:hint="eastAsia" w:ascii="宋体" w:hAnsi="宋体" w:cs="宋体"/>
          <w:b/>
          <w:bCs/>
          <w:color w:val="auto"/>
          <w:kern w:val="0"/>
          <w:sz w:val="28"/>
          <w:szCs w:val="28"/>
          <w:highlight w:val="none"/>
          <w:shd w:val="clear" w:color="auto" w:fill="FFFFFF"/>
          <w:lang w:eastAsia="zh-CN"/>
        </w:rPr>
        <w:t>）</w:t>
      </w:r>
    </w:p>
    <w:p>
      <w:pPr>
        <w:adjustRightInd w:val="0"/>
        <w:snapToGrid w:val="0"/>
        <w:spacing w:before="156" w:beforeLines="50" w:line="360" w:lineRule="auto"/>
        <w:outlineLvl w:val="0"/>
        <w:rPr>
          <w:rFonts w:ascii="宋体" w:hAnsi="宋体" w:cs="宋体"/>
          <w:color w:val="auto"/>
          <w:sz w:val="24"/>
          <w:highlight w:val="none"/>
        </w:rPr>
      </w:pPr>
    </w:p>
    <w:p>
      <w:pPr>
        <w:adjustRightInd w:val="0"/>
        <w:snapToGrid w:val="0"/>
        <w:spacing w:before="156" w:beforeLines="50" w:line="360" w:lineRule="auto"/>
        <w:ind w:left="-88" w:leftChars="-42"/>
        <w:outlineLvl w:val="0"/>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lang w:eastAsia="zh-CN"/>
        </w:rPr>
        <w:t>采购人</w:t>
      </w:r>
      <w:r>
        <w:rPr>
          <w:rFonts w:hint="eastAsia" w:ascii="宋体" w:hAnsi="宋体" w:cs="宋体"/>
          <w:color w:val="auto"/>
          <w:szCs w:val="21"/>
          <w:highlight w:val="none"/>
        </w:rPr>
        <w:t>)：</w:t>
      </w:r>
    </w:p>
    <w:p>
      <w:pPr>
        <w:adjustRightInd w:val="0"/>
        <w:snapToGrid w:val="0"/>
        <w:spacing w:before="156" w:beforeLines="50" w:line="360" w:lineRule="auto"/>
        <w:ind w:left="-88" w:leftChars="-42"/>
        <w:rPr>
          <w:rFonts w:ascii="宋体" w:hAnsi="宋体" w:cs="宋体"/>
          <w:color w:val="auto"/>
          <w:szCs w:val="21"/>
          <w:highlight w:val="none"/>
        </w:rPr>
      </w:pPr>
    </w:p>
    <w:p>
      <w:pPr>
        <w:widowControl/>
        <w:adjustRightInd w:val="0"/>
        <w:snapToGrid w:val="0"/>
        <w:spacing w:beforeLines="50"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我单位在</w:t>
      </w:r>
      <w:r>
        <w:rPr>
          <w:rFonts w:hint="eastAsia" w:ascii="宋体" w:hAnsi="宋体" w:cs="宋体"/>
          <w:color w:val="auto"/>
          <w:szCs w:val="21"/>
          <w:highlight w:val="none"/>
        </w:rPr>
        <w:t>参加采购活动前三年内在经营活动中没有政府采购法第二十二条第一款第（五）项所称重大违法记录，包括：</w:t>
      </w:r>
    </w:p>
    <w:p>
      <w:pPr>
        <w:widowControl/>
        <w:adjustRightInd w:val="0"/>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bCs/>
          <w:color w:val="auto"/>
          <w:szCs w:val="21"/>
          <w:highlight w:val="none"/>
        </w:rPr>
        <w:t>我单位</w:t>
      </w:r>
      <w:r>
        <w:rPr>
          <w:rFonts w:hint="eastAsia" w:ascii="宋体" w:hAnsi="宋体" w:cs="宋体"/>
          <w:color w:val="auto"/>
          <w:szCs w:val="21"/>
          <w:highlight w:val="none"/>
        </w:rPr>
        <w:t>或者其法定代表人、董事、监事、高级管理人员因经营活动中的违法行为受到行政处罚，但警告和罚款额在达到处罚地行政处罚听证范围中“较大数额罚款”标准的行政处罚除外；</w:t>
      </w:r>
    </w:p>
    <w:p>
      <w:pPr>
        <w:widowControl/>
        <w:adjustRightInd w:val="0"/>
        <w:snapToGrid w:val="0"/>
        <w:spacing w:beforeLines="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w:t>
      </w:r>
      <w:r>
        <w:rPr>
          <w:rFonts w:hint="eastAsia" w:ascii="宋体" w:hAnsi="宋体" w:cs="宋体"/>
          <w:bCs/>
          <w:color w:val="auto"/>
          <w:szCs w:val="21"/>
          <w:highlight w:val="none"/>
        </w:rPr>
        <w:t>我单位</w:t>
      </w:r>
      <w:r>
        <w:rPr>
          <w:rFonts w:hint="eastAsia" w:ascii="宋体" w:hAnsi="宋体" w:cs="宋体"/>
          <w:color w:val="auto"/>
          <w:szCs w:val="21"/>
          <w:highlight w:val="none"/>
        </w:rPr>
        <w:t>或者其法定代表人、董事、监事、高级管理人员因经营活动中的违法行为受到刑事处罚。</w:t>
      </w:r>
    </w:p>
    <w:p>
      <w:pPr>
        <w:widowControl/>
        <w:adjustRightInd w:val="0"/>
        <w:snapToGrid w:val="0"/>
        <w:spacing w:before="156" w:beforeLines="50" w:line="360" w:lineRule="auto"/>
        <w:ind w:firstLine="200"/>
        <w:rPr>
          <w:rFonts w:ascii="宋体" w:hAnsi="宋体" w:cs="宋体"/>
          <w:color w:val="auto"/>
          <w:szCs w:val="21"/>
          <w:highlight w:val="none"/>
        </w:rPr>
      </w:pPr>
      <w:r>
        <w:rPr>
          <w:rFonts w:hint="eastAsia" w:ascii="宋体" w:hAnsi="宋体" w:cs="宋体"/>
          <w:color w:val="auto"/>
          <w:szCs w:val="21"/>
          <w:highlight w:val="none"/>
        </w:rPr>
        <w:t>特此声明、承诺！</w:t>
      </w:r>
    </w:p>
    <w:p>
      <w:pPr>
        <w:widowControl/>
        <w:adjustRightInd w:val="0"/>
        <w:snapToGrid w:val="0"/>
        <w:spacing w:before="156" w:beforeLines="50" w:line="360" w:lineRule="auto"/>
        <w:ind w:firstLine="420"/>
        <w:rPr>
          <w:rFonts w:ascii="宋体" w:hAnsi="宋体" w:cs="宋体"/>
          <w:color w:val="auto"/>
          <w:szCs w:val="21"/>
          <w:highlight w:val="none"/>
        </w:rPr>
      </w:pPr>
    </w:p>
    <w:p>
      <w:pPr>
        <w:widowControl/>
        <w:adjustRightInd w:val="0"/>
        <w:snapToGrid w:val="0"/>
        <w:spacing w:before="156" w:beforeLines="50" w:line="360" w:lineRule="auto"/>
        <w:ind w:firstLine="420"/>
        <w:rPr>
          <w:rFonts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供应商名称（盖单位公章）：</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480" w:lineRule="auto"/>
        <w:jc w:val="left"/>
        <w:textAlignment w:val="auto"/>
        <w:rPr>
          <w:rFonts w:ascii="宋体" w:hAnsi="宋体"/>
          <w:color w:val="auto"/>
          <w:highlight w:val="none"/>
        </w:rPr>
      </w:pPr>
      <w:r>
        <w:rPr>
          <w:rFonts w:hint="eastAsia" w:ascii="宋体" w:hAnsi="宋体"/>
          <w:color w:val="auto"/>
          <w:highlight w:val="none"/>
        </w:rPr>
        <w:t>法定代表人（单位负责人）或其</w:t>
      </w:r>
      <w:r>
        <w:rPr>
          <w:rFonts w:hint="eastAsia" w:ascii="宋体" w:hAnsi="宋体"/>
          <w:color w:val="auto"/>
          <w:highlight w:val="none"/>
          <w:lang w:val="en-US" w:eastAsia="zh-CN"/>
        </w:rPr>
        <w:t>授权的</w:t>
      </w:r>
      <w:r>
        <w:rPr>
          <w:rFonts w:hint="eastAsia" w:ascii="宋体" w:hAnsi="宋体"/>
          <w:color w:val="auto"/>
          <w:highlight w:val="none"/>
        </w:rPr>
        <w:t>代理人（签字或印章）：</w:t>
      </w:r>
      <w:r>
        <w:rPr>
          <w:rFonts w:hint="eastAsia" w:ascii="宋体" w:hAnsi="宋体"/>
          <w:color w:val="auto"/>
          <w:highlight w:val="none"/>
          <w:u w:val="single"/>
        </w:rPr>
        <w:t xml:space="preserve">       </w:t>
      </w:r>
    </w:p>
    <w:p>
      <w:pPr>
        <w:rPr>
          <w:rFonts w:hAnsi="华文中宋" w:eastAsia="黑体" w:cs="宋体"/>
          <w:color w:val="auto"/>
          <w:spacing w:val="6"/>
          <w:kern w:val="0"/>
          <w:highlight w:val="none"/>
        </w:rPr>
      </w:pPr>
      <w:r>
        <w:rPr>
          <w:rFonts w:hint="eastAsia"/>
          <w:color w:val="auto"/>
          <w:highlight w:val="none"/>
        </w:rPr>
        <w:t xml:space="preserve">日期：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27"/>
        <w:ind w:firstLine="211"/>
        <w:rPr>
          <w:rFonts w:ascii="宋体" w:hAnsi="宋体" w:cs="宋体"/>
          <w:b/>
          <w:bCs/>
          <w:color w:val="auto"/>
          <w:kern w:val="0"/>
          <w:szCs w:val="21"/>
          <w:highlight w:val="none"/>
          <w:shd w:val="clear" w:color="auto" w:fill="FFFFFF"/>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adjustRightInd w:val="0"/>
        <w:snapToGrid w:val="0"/>
        <w:spacing w:line="360" w:lineRule="auto"/>
        <w:jc w:val="center"/>
        <w:outlineLvl w:val="0"/>
        <w:rPr>
          <w:rFonts w:hint="eastAsia" w:ascii="宋体" w:hAnsi="宋体" w:eastAsia="宋体" w:cs="宋体"/>
          <w:b/>
          <w:bCs/>
          <w:color w:val="auto"/>
          <w:kern w:val="0"/>
          <w:sz w:val="28"/>
          <w:szCs w:val="28"/>
          <w:highlight w:val="none"/>
          <w:shd w:val="clear" w:color="auto" w:fill="FFFFFF"/>
          <w:lang w:val="en-US" w:eastAsia="zh-CN" w:bidi="ar-SA"/>
        </w:rPr>
      </w:pPr>
    </w:p>
    <w:p>
      <w:pPr>
        <w:pStyle w:val="47"/>
        <w:rPr>
          <w:rFonts w:hint="eastAsia"/>
          <w:color w:val="auto"/>
          <w:highlight w:val="none"/>
          <w:lang w:val="en-US" w:eastAsia="zh-CN"/>
        </w:rPr>
      </w:pPr>
    </w:p>
    <w:p>
      <w:pPr>
        <w:adjustRightInd w:val="0"/>
        <w:snapToGrid w:val="0"/>
        <w:spacing w:line="360" w:lineRule="auto"/>
        <w:jc w:val="center"/>
        <w:outlineLvl w:val="0"/>
        <w:rPr>
          <w:rFonts w:cs="宋体" w:asciiTheme="minorEastAsia" w:hAnsiTheme="minorEastAsia" w:eastAsiaTheme="minorEastAsia"/>
          <w:color w:val="auto"/>
          <w:sz w:val="24"/>
          <w:szCs w:val="24"/>
          <w:highlight w:val="none"/>
        </w:rPr>
      </w:pPr>
      <w:r>
        <w:rPr>
          <w:rFonts w:hint="eastAsia" w:ascii="宋体" w:hAnsi="宋体" w:eastAsia="宋体" w:cs="宋体"/>
          <w:b/>
          <w:bCs/>
          <w:color w:val="auto"/>
          <w:kern w:val="0"/>
          <w:sz w:val="24"/>
          <w:szCs w:val="24"/>
          <w:highlight w:val="none"/>
          <w:shd w:val="clear" w:color="auto" w:fill="FFFFFF"/>
          <w:lang w:val="en-US" w:eastAsia="zh-CN" w:bidi="ar-SA"/>
        </w:rPr>
        <w:t>单位负责人与其他参与本项目的投标单位的负责人不是同一人且不存在直接控股、管理关系的承诺书、没有为本项目提供整体设计、规范编制或者项目管理、监理、检测等服务的承诺书、不是联合体投标承诺书(格式)</w:t>
      </w:r>
    </w:p>
    <w:p>
      <w:pPr>
        <w:adjustRightInd w:val="0"/>
        <w:snapToGrid w:val="0"/>
        <w:spacing w:line="360" w:lineRule="auto"/>
        <w:jc w:val="center"/>
        <w:rPr>
          <w:rFonts w:hint="eastAsia" w:ascii="宋体" w:hAnsi="宋体"/>
          <w:b/>
          <w:color w:val="auto"/>
          <w:sz w:val="32"/>
          <w:szCs w:val="32"/>
          <w:highlight w:val="none"/>
        </w:rPr>
      </w:pPr>
    </w:p>
    <w:p>
      <w:pPr>
        <w:adjustRightInd w:val="0"/>
        <w:snapToGrid w:val="0"/>
        <w:spacing w:before="156" w:beforeLines="50" w:line="360" w:lineRule="auto"/>
        <w:ind w:left="-88" w:leftChars="-42"/>
        <w:outlineLvl w:val="0"/>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lang w:val="en-US" w:eastAsia="zh-CN"/>
        </w:rPr>
        <w:t>采购人</w:t>
      </w:r>
      <w:r>
        <w:rPr>
          <w:rFonts w:hint="eastAsia" w:ascii="宋体" w:hAnsi="宋体" w:cs="宋体"/>
          <w:color w:val="auto"/>
          <w:szCs w:val="21"/>
          <w:highlight w:val="none"/>
        </w:rPr>
        <w:t>)：</w:t>
      </w: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beforeLines="50" w:line="7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按照《中华人民共和国政府采购法》第二十二条和</w:t>
      </w: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文件的规定，我单位郑重声明如下：</w:t>
      </w:r>
    </w:p>
    <w:p>
      <w:pPr>
        <w:keepNext w:val="0"/>
        <w:keepLines w:val="0"/>
        <w:pageBreakBefore w:val="0"/>
        <w:kinsoku/>
        <w:wordWrap/>
        <w:overflowPunct/>
        <w:topLinePunct w:val="0"/>
        <w:autoSpaceDE/>
        <w:autoSpaceDN/>
        <w:bidi w:val="0"/>
        <w:adjustRightInd w:val="0"/>
        <w:snapToGrid w:val="0"/>
        <w:spacing w:line="720" w:lineRule="exact"/>
        <w:ind w:firstLine="420" w:firstLineChars="200"/>
        <w:jc w:val="left"/>
        <w:textAlignment w:val="auto"/>
        <w:outlineLvl w:val="0"/>
        <w:rPr>
          <w:rFonts w:hint="eastAsia" w:asciiTheme="minorEastAsia" w:hAnsiTheme="minorEastAsia" w:eastAsiaTheme="minorEastAsia" w:cstheme="minorEastAsia"/>
          <w:bCs w:val="0"/>
          <w:color w:val="auto"/>
          <w:sz w:val="21"/>
          <w:szCs w:val="21"/>
          <w:highlight w:val="none"/>
          <w:lang w:eastAsia="zh-CN"/>
        </w:rPr>
      </w:pPr>
      <w:r>
        <w:rPr>
          <w:rFonts w:hint="eastAsia" w:asciiTheme="minorEastAsia" w:hAnsiTheme="minorEastAsia" w:eastAsiaTheme="minorEastAsia" w:cstheme="minorEastAsia"/>
          <w:bCs w:val="0"/>
          <w:color w:val="auto"/>
          <w:sz w:val="21"/>
          <w:szCs w:val="21"/>
          <w:highlight w:val="none"/>
          <w:lang w:val="en-US" w:eastAsia="zh-CN"/>
        </w:rPr>
        <w:t>1、</w:t>
      </w:r>
      <w:r>
        <w:rPr>
          <w:rFonts w:hint="eastAsia" w:asciiTheme="minorEastAsia" w:hAnsiTheme="minorEastAsia" w:eastAsiaTheme="minorEastAsia" w:cstheme="minorEastAsia"/>
          <w:bCs w:val="0"/>
          <w:color w:val="auto"/>
          <w:sz w:val="21"/>
          <w:szCs w:val="21"/>
          <w:highlight w:val="none"/>
        </w:rPr>
        <w:t>单位负责人与其他参与本项目的投标单位的负责人不是同一人且不存在直接控股、管理关系</w:t>
      </w:r>
      <w:r>
        <w:rPr>
          <w:rFonts w:hint="eastAsia" w:asciiTheme="minorEastAsia" w:hAnsiTheme="minorEastAsia" w:eastAsiaTheme="minorEastAsia" w:cstheme="minorEastAsia"/>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720" w:lineRule="exact"/>
        <w:ind w:firstLine="420" w:firstLineChars="200"/>
        <w:jc w:val="left"/>
        <w:textAlignment w:val="auto"/>
        <w:outlineLvl w:val="0"/>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没有为本项目提供整体设计、规范编制或者项目管理、监理、检测等服务</w:t>
      </w:r>
      <w:r>
        <w:rPr>
          <w:rFonts w:hint="eastAsia" w:ascii="宋体" w:hAnsi="宋体" w:cs="宋体"/>
          <w:b w:val="0"/>
          <w:bCs/>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spacing w:line="720" w:lineRule="exact"/>
        <w:ind w:firstLine="420" w:firstLineChars="200"/>
        <w:jc w:val="left"/>
        <w:textAlignment w:val="auto"/>
        <w:outlineLvl w:val="0"/>
        <w:rPr>
          <w:rFonts w:hint="eastAsia" w:ascii="宋体" w:hAnsi="宋体" w:cs="宋体" w:eastAsiaTheme="minorEastAsia"/>
          <w:color w:val="auto"/>
          <w:sz w:val="28"/>
          <w:szCs w:val="28"/>
          <w:highlight w:val="none"/>
          <w:lang w:val="en-US" w:eastAsia="zh-CN"/>
        </w:rPr>
      </w:pPr>
      <w:r>
        <w:rPr>
          <w:rFonts w:hint="eastAsia" w:asciiTheme="minorEastAsia" w:hAnsiTheme="minorEastAsia" w:eastAsiaTheme="minorEastAsia" w:cstheme="minorEastAsia"/>
          <w:bCs w:val="0"/>
          <w:color w:val="auto"/>
          <w:sz w:val="21"/>
          <w:szCs w:val="21"/>
          <w:highlight w:val="none"/>
          <w:lang w:val="en-US" w:eastAsia="zh-CN"/>
        </w:rPr>
        <w:t>3、</w:t>
      </w:r>
      <w:r>
        <w:rPr>
          <w:rFonts w:hint="eastAsia" w:asciiTheme="minorEastAsia" w:hAnsiTheme="minorEastAsia" w:eastAsiaTheme="minorEastAsia" w:cstheme="minorEastAsia"/>
          <w:bCs w:val="0"/>
          <w:color w:val="auto"/>
          <w:sz w:val="21"/>
          <w:szCs w:val="21"/>
          <w:highlight w:val="none"/>
        </w:rPr>
        <w:t>不是联合体投标</w:t>
      </w:r>
      <w:r>
        <w:rPr>
          <w:rFonts w:hint="eastAsia" w:asciiTheme="minorEastAsia" w:hAnsiTheme="minorEastAsia" w:eastAsiaTheme="minorEastAsia" w:cstheme="minorEastAsia"/>
          <w:bCs w:val="0"/>
          <w:color w:val="auto"/>
          <w:sz w:val="21"/>
          <w:szCs w:val="21"/>
          <w:highlight w:val="none"/>
          <w:lang w:eastAsia="zh-CN"/>
        </w:rPr>
        <w:t>。</w:t>
      </w:r>
    </w:p>
    <w:p>
      <w:pPr>
        <w:pStyle w:val="2"/>
        <w:rPr>
          <w:color w:val="auto"/>
          <w:highlight w:val="none"/>
        </w:rPr>
      </w:pP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pStyle w:val="64"/>
        <w:rPr>
          <w:rFonts w:asciiTheme="minorEastAsia" w:hAnsiTheme="minorEastAsia" w:eastAsiaTheme="minorEastAsia" w:cstheme="minorEastAsia"/>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val="en-US" w:eastAsia="zh-CN"/>
        </w:rPr>
        <w:t>供应商</w:t>
      </w:r>
      <w:r>
        <w:rPr>
          <w:rFonts w:hint="eastAsia" w:ascii="宋体" w:hAnsi="宋体"/>
          <w:color w:val="auto"/>
          <w:szCs w:val="21"/>
          <w:highlight w:val="none"/>
          <w:lang w:eastAsia="zh-CN"/>
        </w:rPr>
        <w:t>名称（盖单位公章）</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olor w:val="auto"/>
          <w:szCs w:val="21"/>
          <w:highlight w:val="none"/>
        </w:rPr>
      </w:pPr>
      <w:r>
        <w:rPr>
          <w:rFonts w:hint="eastAsia" w:cs="微软雅黑" w:asciiTheme="minorEastAsia" w:hAnsiTheme="minorEastAsia" w:eastAsiaTheme="minorEastAsia"/>
          <w:color w:val="auto"/>
          <w:spacing w:val="-2"/>
          <w:kern w:val="0"/>
          <w:szCs w:val="21"/>
          <w:highlight w:val="none"/>
        </w:rPr>
        <w:t>法</w:t>
      </w:r>
      <w:r>
        <w:rPr>
          <w:rFonts w:hint="eastAsia" w:cs="微软雅黑" w:asciiTheme="minorEastAsia" w:hAnsiTheme="minorEastAsia" w:eastAsiaTheme="minorEastAsia"/>
          <w:color w:val="auto"/>
          <w:kern w:val="0"/>
          <w:szCs w:val="21"/>
          <w:highlight w:val="none"/>
        </w:rPr>
        <w:t>定</w:t>
      </w:r>
      <w:r>
        <w:rPr>
          <w:rFonts w:hint="eastAsia" w:cs="微软雅黑" w:asciiTheme="minorEastAsia" w:hAnsiTheme="minorEastAsia" w:eastAsiaTheme="minorEastAsia"/>
          <w:color w:val="auto"/>
          <w:spacing w:val="-2"/>
          <w:kern w:val="0"/>
          <w:szCs w:val="21"/>
          <w:highlight w:val="none"/>
        </w:rPr>
        <w:t>代</w:t>
      </w:r>
      <w:r>
        <w:rPr>
          <w:rFonts w:hint="eastAsia" w:cs="微软雅黑" w:asciiTheme="minorEastAsia" w:hAnsiTheme="minorEastAsia" w:eastAsiaTheme="minorEastAsia"/>
          <w:color w:val="auto"/>
          <w:kern w:val="0"/>
          <w:szCs w:val="21"/>
          <w:highlight w:val="none"/>
        </w:rPr>
        <w:t>表</w:t>
      </w:r>
      <w:r>
        <w:rPr>
          <w:rFonts w:hint="eastAsia" w:cs="微软雅黑" w:asciiTheme="minorEastAsia" w:hAnsiTheme="minorEastAsia" w:eastAsiaTheme="minorEastAsia"/>
          <w:color w:val="auto"/>
          <w:spacing w:val="-2"/>
          <w:kern w:val="0"/>
          <w:szCs w:val="21"/>
          <w:highlight w:val="none"/>
        </w:rPr>
        <w:t>人</w:t>
      </w:r>
      <w:r>
        <w:rPr>
          <w:rFonts w:hint="eastAsia" w:cs="微软雅黑" w:asciiTheme="minorEastAsia" w:hAnsiTheme="minorEastAsia" w:eastAsiaTheme="minorEastAsia"/>
          <w:color w:val="auto"/>
          <w:kern w:val="0"/>
          <w:szCs w:val="21"/>
          <w:highlight w:val="none"/>
        </w:rPr>
        <w:t>（</w:t>
      </w:r>
      <w:r>
        <w:rPr>
          <w:rFonts w:hint="eastAsia" w:cs="微软雅黑" w:asciiTheme="minorEastAsia" w:hAnsiTheme="minorEastAsia" w:eastAsiaTheme="minorEastAsia"/>
          <w:color w:val="auto"/>
          <w:spacing w:val="-2"/>
          <w:kern w:val="0"/>
          <w:szCs w:val="21"/>
          <w:highlight w:val="none"/>
        </w:rPr>
        <w:t>单</w:t>
      </w:r>
      <w:r>
        <w:rPr>
          <w:rFonts w:hint="eastAsia" w:cs="微软雅黑" w:asciiTheme="minorEastAsia" w:hAnsiTheme="minorEastAsia" w:eastAsiaTheme="minorEastAsia"/>
          <w:color w:val="auto"/>
          <w:kern w:val="0"/>
          <w:szCs w:val="21"/>
          <w:highlight w:val="none"/>
        </w:rPr>
        <w:t>位</w:t>
      </w:r>
      <w:r>
        <w:rPr>
          <w:rFonts w:hint="eastAsia" w:cs="微软雅黑" w:asciiTheme="minorEastAsia" w:hAnsiTheme="minorEastAsia" w:eastAsiaTheme="minorEastAsia"/>
          <w:color w:val="auto"/>
          <w:spacing w:val="-2"/>
          <w:kern w:val="0"/>
          <w:szCs w:val="21"/>
          <w:highlight w:val="none"/>
        </w:rPr>
        <w:t>负</w:t>
      </w:r>
      <w:r>
        <w:rPr>
          <w:rFonts w:hint="eastAsia" w:cs="微软雅黑" w:asciiTheme="minorEastAsia" w:hAnsiTheme="minorEastAsia" w:eastAsiaTheme="minorEastAsia"/>
          <w:color w:val="auto"/>
          <w:kern w:val="0"/>
          <w:szCs w:val="21"/>
          <w:highlight w:val="none"/>
        </w:rPr>
        <w:t>责人</w:t>
      </w:r>
      <w:r>
        <w:rPr>
          <w:rFonts w:hint="eastAsia" w:cs="微软雅黑" w:asciiTheme="minorEastAsia" w:hAnsiTheme="minorEastAsia" w:eastAsiaTheme="minorEastAsia"/>
          <w:color w:val="auto"/>
          <w:spacing w:val="-2"/>
          <w:kern w:val="0"/>
          <w:szCs w:val="21"/>
          <w:highlight w:val="none"/>
        </w:rPr>
        <w:t>）</w:t>
      </w:r>
      <w:r>
        <w:rPr>
          <w:rFonts w:hint="eastAsia" w:ascii="宋体" w:hAnsi="宋体"/>
          <w:color w:val="auto"/>
          <w:szCs w:val="21"/>
          <w:highlight w:val="none"/>
        </w:rPr>
        <w:t>或其</w:t>
      </w:r>
      <w:r>
        <w:rPr>
          <w:rFonts w:hint="eastAsia" w:ascii="宋体" w:hAnsi="宋体"/>
          <w:color w:val="auto"/>
          <w:szCs w:val="21"/>
          <w:highlight w:val="none"/>
          <w:lang w:val="en-US" w:eastAsia="zh-CN"/>
        </w:rPr>
        <w:t>授权的</w:t>
      </w:r>
      <w:r>
        <w:rPr>
          <w:rFonts w:hint="eastAsia" w:ascii="宋体" w:hAnsi="宋体"/>
          <w:color w:val="auto"/>
          <w:szCs w:val="21"/>
          <w:highlight w:val="none"/>
        </w:rPr>
        <w:t>代理人（签字或印章）：</w:t>
      </w:r>
      <w:r>
        <w:rPr>
          <w:rFonts w:hint="eastAsia" w:ascii="宋体" w:hAnsi="宋体"/>
          <w:color w:val="auto"/>
          <w:szCs w:val="21"/>
          <w:highlight w:val="none"/>
          <w:u w:val="single"/>
        </w:rPr>
        <w:t xml:space="preserve">       </w:t>
      </w:r>
    </w:p>
    <w:p>
      <w:pPr>
        <w:pStyle w:val="6"/>
        <w:rPr>
          <w:b w:val="0"/>
          <w:bCs w:val="0"/>
          <w:color w:val="auto"/>
          <w:sz w:val="21"/>
          <w:szCs w:val="21"/>
          <w:highlight w:val="none"/>
        </w:rPr>
      </w:pPr>
      <w:r>
        <w:rPr>
          <w:rFonts w:hint="eastAsia" w:ascii="宋体" w:hAnsi="宋体"/>
          <w:b w:val="0"/>
          <w:bCs w:val="0"/>
          <w:color w:val="auto"/>
          <w:sz w:val="21"/>
          <w:szCs w:val="21"/>
          <w:highlight w:val="none"/>
        </w:rPr>
        <w:t>日期：</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年</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月</w:t>
      </w:r>
      <w:r>
        <w:rPr>
          <w:rFonts w:hint="eastAsia" w:ascii="宋体" w:hAnsi="宋体"/>
          <w:b w:val="0"/>
          <w:bCs w:val="0"/>
          <w:color w:val="auto"/>
          <w:sz w:val="21"/>
          <w:szCs w:val="21"/>
          <w:highlight w:val="none"/>
          <w:u w:val="single"/>
        </w:rPr>
        <w:t xml:space="preserve">     </w:t>
      </w:r>
      <w:r>
        <w:rPr>
          <w:rFonts w:hint="eastAsia" w:ascii="宋体" w:hAnsi="宋体"/>
          <w:b w:val="0"/>
          <w:bCs w:val="0"/>
          <w:color w:val="auto"/>
          <w:sz w:val="21"/>
          <w:szCs w:val="21"/>
          <w:highlight w:val="none"/>
        </w:rPr>
        <w:t>日</w:t>
      </w:r>
    </w:p>
    <w:p>
      <w:pPr>
        <w:pStyle w:val="6"/>
        <w:ind w:firstLine="280" w:firstLineChars="100"/>
        <w:jc w:val="both"/>
        <w:rPr>
          <w:rFonts w:hint="eastAsia" w:ascii="黑体" w:hAnsi="黑体" w:eastAsia="黑体"/>
          <w:color w:val="auto"/>
          <w:sz w:val="28"/>
          <w:szCs w:val="28"/>
          <w:highlight w:val="none"/>
        </w:rPr>
      </w:pPr>
    </w:p>
    <w:p>
      <w:pPr>
        <w:pStyle w:val="3"/>
        <w:rPr>
          <w:rFonts w:hint="eastAsia" w:ascii="Times New Roman" w:hAnsi="Times New Roman"/>
          <w:color w:val="auto"/>
          <w:highlight w:val="none"/>
        </w:rPr>
      </w:pPr>
    </w:p>
    <w:p>
      <w:pPr>
        <w:pStyle w:val="4"/>
        <w:rPr>
          <w:rFonts w:hint="eastAsia" w:ascii="Times New Roman" w:hAnsi="Times New Roman"/>
          <w:color w:val="auto"/>
          <w:highlight w:val="none"/>
        </w:rPr>
      </w:pPr>
    </w:p>
    <w:p>
      <w:pPr>
        <w:rPr>
          <w:rFonts w:hint="eastAsia" w:ascii="Times New Roman" w:hAnsi="Times New Roman"/>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rPr>
          <w:rFonts w:hint="eastAsia" w:ascii="宋体" w:hAnsi="宋体"/>
          <w:b/>
          <w:bCs/>
          <w:color w:val="auto"/>
          <w:highlight w:val="none"/>
        </w:rPr>
      </w:pPr>
    </w:p>
    <w:p>
      <w:pPr>
        <w:adjustRightInd w:val="0"/>
        <w:snapToGrid w:val="0"/>
        <w:jc w:val="center"/>
        <w:rPr>
          <w:rFonts w:hint="eastAsia" w:ascii="宋体" w:hAnsi="宋体"/>
          <w:b/>
          <w:color w:val="auto"/>
          <w:sz w:val="28"/>
          <w:szCs w:val="28"/>
          <w:highlight w:val="none"/>
        </w:rPr>
      </w:pPr>
      <w:r>
        <w:rPr>
          <w:rFonts w:hint="eastAsia" w:ascii="黑体" w:eastAsia="黑体"/>
          <w:b/>
          <w:color w:val="auto"/>
          <w:sz w:val="32"/>
          <w:szCs w:val="32"/>
          <w:highlight w:val="none"/>
          <w:lang w:eastAsia="zh-CN"/>
        </w:rPr>
        <w:t>三</w:t>
      </w:r>
      <w:r>
        <w:rPr>
          <w:rFonts w:hint="eastAsia" w:ascii="黑体" w:eastAsia="黑体"/>
          <w:b/>
          <w:color w:val="auto"/>
          <w:sz w:val="32"/>
          <w:szCs w:val="32"/>
          <w:highlight w:val="none"/>
        </w:rPr>
        <w:t>、</w:t>
      </w:r>
      <w:r>
        <w:rPr>
          <w:rFonts w:ascii="黑体" w:hAnsi="黑体" w:eastAsia="黑体" w:cs="黑体"/>
          <w:b/>
          <w:bCs/>
          <w:color w:val="auto"/>
          <w:sz w:val="32"/>
          <w:szCs w:val="32"/>
          <w:highlight w:val="none"/>
        </w:rPr>
        <w:t>服务方案</w:t>
      </w:r>
      <w:r>
        <w:rPr>
          <w:color w:val="auto"/>
          <w:sz w:val="21"/>
          <w:szCs w:val="21"/>
          <w:highlight w:val="none"/>
        </w:rPr>
        <w:t xml:space="preserve"> </w:t>
      </w:r>
    </w:p>
    <w:p>
      <w:pPr>
        <w:adjustRightInd w:val="0"/>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t>服务方案说明（服务类适用）</w:t>
      </w:r>
    </w:p>
    <w:p>
      <w:pPr>
        <w:adjustRightInd w:val="0"/>
        <w:snapToGrid w:val="0"/>
        <w:rPr>
          <w:rFonts w:hint="eastAsia" w:ascii="宋体" w:hAnsi="宋体"/>
          <w:color w:val="auto"/>
          <w:szCs w:val="21"/>
          <w:highlight w:val="none"/>
        </w:rPr>
      </w:pPr>
    </w:p>
    <w:p>
      <w:pPr>
        <w:adjustRightInd w:val="0"/>
        <w:snapToGrid w:val="0"/>
        <w:spacing w:line="360" w:lineRule="auto"/>
        <w:rPr>
          <w:rFonts w:hint="eastAsia" w:ascii="仿宋_GB2312" w:hAnsi="宋体" w:eastAsia="宋体"/>
          <w:color w:val="auto"/>
          <w:szCs w:val="21"/>
          <w:highlight w:val="none"/>
          <w:lang w:eastAsia="zh-CN"/>
        </w:rPr>
      </w:pPr>
      <w:r>
        <w:rPr>
          <w:rFonts w:hint="eastAsia" w:ascii="宋体" w:hAnsi="宋体"/>
          <w:b/>
          <w:color w:val="auto"/>
          <w:szCs w:val="21"/>
          <w:highlight w:val="none"/>
        </w:rPr>
        <w:t>编制说明</w:t>
      </w:r>
      <w:r>
        <w:rPr>
          <w:rFonts w:hint="eastAsia" w:ascii="宋体" w:hAnsi="宋体"/>
          <w:bCs/>
          <w:color w:val="auto"/>
          <w:szCs w:val="21"/>
          <w:highlight w:val="none"/>
        </w:rPr>
        <w:t>：</w:t>
      </w:r>
      <w:r>
        <w:rPr>
          <w:rFonts w:hint="eastAsia" w:ascii="仿宋_GB2312" w:hAnsi="宋体" w:eastAsia="仿宋_GB2312"/>
          <w:color w:val="auto"/>
          <w:szCs w:val="21"/>
          <w:highlight w:val="none"/>
        </w:rPr>
        <w:t>服务类项目供应商应根据第四章规定编写服务方案或服务大纲。服务方案或服务大纲应包括：(1)服务目标、范围和任务；(2)服务方案；(3)服务团队组织安排计划；(4)工作流程；(5)进度计划及保证措施；(6)质量保证措施；(7)合理化建议；(8)其他。</w:t>
      </w:r>
      <w:r>
        <w:rPr>
          <w:rFonts w:hint="eastAsia" w:ascii="仿宋_GB2312" w:hAnsi="宋体" w:eastAsia="仿宋_GB2312"/>
          <w:color w:val="auto"/>
          <w:szCs w:val="21"/>
          <w:highlight w:val="none"/>
          <w:lang w:eastAsia="zh-CN"/>
        </w:rPr>
        <w:t>（</w:t>
      </w:r>
      <w:r>
        <w:rPr>
          <w:rFonts w:hint="eastAsia"/>
          <w:b/>
          <w:color w:val="auto"/>
          <w:highlight w:val="none"/>
        </w:rPr>
        <w:t>格式自拟</w:t>
      </w:r>
      <w:r>
        <w:rPr>
          <w:rFonts w:hint="eastAsia"/>
          <w:b/>
          <w:color w:val="auto"/>
          <w:highlight w:val="none"/>
          <w:lang w:eastAsia="zh-CN"/>
        </w:rPr>
        <w:t>）</w:t>
      </w:r>
    </w:p>
    <w:p>
      <w:pPr>
        <w:pStyle w:val="47"/>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left"/>
        <w:rPr>
          <w:rFonts w:hint="eastAsia"/>
          <w:color w:val="auto"/>
          <w:highlight w:val="none"/>
        </w:rPr>
      </w:pPr>
    </w:p>
    <w:p>
      <w:pPr>
        <w:pStyle w:val="47"/>
        <w:rPr>
          <w:rFonts w:hint="eastAsia"/>
          <w:color w:val="auto"/>
          <w:highlight w:val="none"/>
        </w:rPr>
      </w:pPr>
    </w:p>
    <w:p>
      <w:pPr>
        <w:rPr>
          <w:rFonts w:hint="eastAsia"/>
          <w:color w:val="auto"/>
          <w:highlight w:val="none"/>
        </w:rPr>
      </w:pPr>
    </w:p>
    <w:p>
      <w:pPr>
        <w:jc w:val="center"/>
        <w:rPr>
          <w:rFonts w:hint="eastAsia"/>
          <w:color w:val="auto"/>
          <w:highlight w:val="none"/>
        </w:rPr>
      </w:pPr>
    </w:p>
    <w:p>
      <w:pPr>
        <w:pStyle w:val="2"/>
        <w:jc w:val="center"/>
        <w:rPr>
          <w:rFonts w:hint="eastAsia"/>
          <w:color w:val="auto"/>
          <w:highlight w:val="none"/>
        </w:rPr>
      </w:pPr>
    </w:p>
    <w:p>
      <w:pPr>
        <w:pStyle w:val="3"/>
        <w:jc w:val="center"/>
        <w:rPr>
          <w:rFonts w:hint="eastAsia"/>
          <w:color w:val="auto"/>
          <w:highlight w:val="none"/>
        </w:rPr>
      </w:pPr>
    </w:p>
    <w:p>
      <w:pPr>
        <w:pStyle w:val="4"/>
        <w:jc w:val="center"/>
        <w:rPr>
          <w:rFonts w:hint="eastAsia"/>
          <w:color w:val="auto"/>
          <w:highlight w:val="none"/>
        </w:rPr>
      </w:pPr>
    </w:p>
    <w:p>
      <w:pPr>
        <w:jc w:val="center"/>
        <w:rPr>
          <w:rFonts w:hint="eastAsia"/>
          <w:color w:val="auto"/>
          <w:highlight w:val="none"/>
        </w:rPr>
      </w:pPr>
    </w:p>
    <w:p>
      <w:pPr>
        <w:pStyle w:val="2"/>
        <w:jc w:val="center"/>
        <w:rPr>
          <w:rFonts w:hint="eastAsia"/>
          <w:color w:val="auto"/>
          <w:highlight w:val="none"/>
        </w:rPr>
      </w:pPr>
    </w:p>
    <w:p>
      <w:pPr>
        <w:pStyle w:val="3"/>
        <w:jc w:val="center"/>
        <w:rPr>
          <w:rFonts w:hint="eastAsia"/>
          <w:color w:val="auto"/>
          <w:highlight w:val="none"/>
        </w:rPr>
      </w:pPr>
    </w:p>
    <w:p>
      <w:pPr>
        <w:pStyle w:val="4"/>
        <w:jc w:val="center"/>
        <w:rPr>
          <w:rFonts w:hint="eastAsia"/>
          <w:color w:val="auto"/>
          <w:highlight w:val="none"/>
        </w:rPr>
      </w:pPr>
    </w:p>
    <w:p>
      <w:pPr>
        <w:jc w:val="center"/>
        <w:rPr>
          <w:rFonts w:hint="eastAsia"/>
          <w:color w:val="auto"/>
          <w:highlight w:val="none"/>
        </w:rPr>
      </w:pPr>
    </w:p>
    <w:p>
      <w:pPr>
        <w:pStyle w:val="2"/>
        <w:jc w:val="center"/>
        <w:rPr>
          <w:rFonts w:hint="eastAsia"/>
          <w:color w:val="auto"/>
          <w:highlight w:val="none"/>
        </w:rPr>
      </w:pPr>
    </w:p>
    <w:p>
      <w:pPr>
        <w:pStyle w:val="3"/>
        <w:jc w:val="center"/>
        <w:rPr>
          <w:rFonts w:hint="eastAsia"/>
          <w:color w:val="auto"/>
          <w:highlight w:val="none"/>
        </w:rPr>
      </w:pPr>
    </w:p>
    <w:p>
      <w:pPr>
        <w:pStyle w:val="4"/>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rPr>
          <w:rFonts w:hint="eastAsia" w:ascii="宋体" w:hAnsi="宋体"/>
          <w:b/>
          <w:bCs/>
          <w:color w:val="auto"/>
          <w:highlight w:val="none"/>
          <w:lang w:eastAsia="zh-CN"/>
        </w:rPr>
      </w:pPr>
    </w:p>
    <w:p>
      <w:pPr>
        <w:rPr>
          <w:rFonts w:ascii="黑体" w:hAnsi="宋体" w:eastAsia="黑体"/>
          <w:b/>
          <w:bCs/>
          <w:color w:val="auto"/>
          <w:sz w:val="28"/>
          <w:szCs w:val="28"/>
          <w:highlight w:val="none"/>
        </w:rPr>
      </w:pPr>
      <w:r>
        <w:rPr>
          <w:rFonts w:hint="eastAsia" w:ascii="宋体" w:hAnsi="宋体"/>
          <w:b/>
          <w:bCs/>
          <w:color w:val="auto"/>
          <w:highlight w:val="none"/>
          <w:lang w:eastAsia="zh-CN"/>
        </w:rPr>
        <w:t>拟任本</w:t>
      </w:r>
      <w:r>
        <w:rPr>
          <w:rFonts w:hint="eastAsia" w:ascii="宋体" w:hAnsi="宋体"/>
          <w:b/>
          <w:bCs/>
          <w:color w:val="auto"/>
          <w:highlight w:val="none"/>
        </w:rPr>
        <w:t>项目负责人基本情况表（格式）</w:t>
      </w:r>
    </w:p>
    <w:p>
      <w:pPr>
        <w:adjustRightInd w:val="0"/>
        <w:snapToGrid w:val="0"/>
        <w:spacing w:before="156" w:beforeLines="50" w:line="360" w:lineRule="auto"/>
        <w:rPr>
          <w:rFonts w:ascii="宋体" w:hAnsi="宋体"/>
          <w:b/>
          <w:bCs/>
          <w:color w:val="auto"/>
          <w:highlight w:val="none"/>
        </w:rPr>
      </w:pPr>
    </w:p>
    <w:p>
      <w:pPr>
        <w:jc w:val="center"/>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项目负责人基本情况表</w:t>
      </w:r>
    </w:p>
    <w:tbl>
      <w:tblPr>
        <w:tblStyle w:val="29"/>
        <w:tblW w:w="8889" w:type="dxa"/>
        <w:tblInd w:w="-285" w:type="dxa"/>
        <w:tblLayout w:type="fixed"/>
        <w:tblCellMar>
          <w:top w:w="0" w:type="dxa"/>
          <w:left w:w="0" w:type="dxa"/>
          <w:bottom w:w="0" w:type="dxa"/>
          <w:right w:w="0" w:type="dxa"/>
        </w:tblCellMar>
      </w:tblPr>
      <w:tblGrid>
        <w:gridCol w:w="2052"/>
        <w:gridCol w:w="672"/>
        <w:gridCol w:w="624"/>
        <w:gridCol w:w="708"/>
        <w:gridCol w:w="916"/>
        <w:gridCol w:w="1425"/>
        <w:gridCol w:w="426"/>
        <w:gridCol w:w="2066"/>
      </w:tblGrid>
      <w:tr>
        <w:tblPrEx>
          <w:tblCellMar>
            <w:top w:w="0" w:type="dxa"/>
            <w:left w:w="0" w:type="dxa"/>
            <w:bottom w:w="0" w:type="dxa"/>
            <w:right w:w="0" w:type="dxa"/>
          </w:tblCellMar>
        </w:tblPrEx>
        <w:trPr>
          <w:trHeight w:val="486"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296"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70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91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18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出生日期</w:t>
            </w:r>
          </w:p>
        </w:tc>
        <w:tc>
          <w:tcPr>
            <w:tcW w:w="20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  月  日</w:t>
            </w:r>
          </w:p>
        </w:tc>
      </w:tr>
      <w:tr>
        <w:tblPrEx>
          <w:tblCellMar>
            <w:top w:w="0" w:type="dxa"/>
            <w:left w:w="0" w:type="dxa"/>
            <w:bottom w:w="0" w:type="dxa"/>
            <w:right w:w="0" w:type="dxa"/>
          </w:tblCellMar>
        </w:tblPrEx>
        <w:trPr>
          <w:trHeight w:val="481"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毕业院校及专业</w:t>
            </w:r>
          </w:p>
        </w:tc>
        <w:tc>
          <w:tcPr>
            <w:tcW w:w="292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18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毕业时间</w:t>
            </w:r>
          </w:p>
        </w:tc>
        <w:tc>
          <w:tcPr>
            <w:tcW w:w="20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  月  日</w:t>
            </w:r>
          </w:p>
        </w:tc>
      </w:tr>
      <w:tr>
        <w:tblPrEx>
          <w:tblCellMar>
            <w:top w:w="0" w:type="dxa"/>
            <w:left w:w="0" w:type="dxa"/>
            <w:bottom w:w="0" w:type="dxa"/>
            <w:right w:w="0" w:type="dxa"/>
          </w:tblCellMar>
        </w:tblPrEx>
        <w:trPr>
          <w:trHeight w:val="414"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从事本专业时间</w:t>
            </w:r>
          </w:p>
        </w:tc>
        <w:tc>
          <w:tcPr>
            <w:tcW w:w="292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18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为申请人服务时间</w:t>
            </w:r>
          </w:p>
        </w:tc>
        <w:tc>
          <w:tcPr>
            <w:tcW w:w="20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408"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color w:val="auto"/>
                <w:highlight w:val="none"/>
              </w:rPr>
              <w:t>执业资格证</w:t>
            </w:r>
          </w:p>
        </w:tc>
        <w:tc>
          <w:tcPr>
            <w:tcW w:w="2920"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c>
          <w:tcPr>
            <w:tcW w:w="185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color w:val="auto"/>
                <w:highlight w:val="none"/>
              </w:rPr>
              <w:t>执业资格证书号</w:t>
            </w:r>
          </w:p>
        </w:tc>
        <w:tc>
          <w:tcPr>
            <w:tcW w:w="206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19"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在本项目中</w:t>
            </w:r>
          </w:p>
          <w:p>
            <w:pPr>
              <w:jc w:val="center"/>
              <w:rPr>
                <w:rFonts w:ascii="宋体" w:hAnsi="宋体" w:cs="宋体"/>
                <w:color w:val="auto"/>
                <w:szCs w:val="21"/>
                <w:highlight w:val="none"/>
              </w:rPr>
            </w:pPr>
            <w:r>
              <w:rPr>
                <w:rFonts w:hint="eastAsia" w:ascii="宋体" w:hAnsi="宋体" w:cs="宋体"/>
                <w:color w:val="auto"/>
                <w:szCs w:val="21"/>
                <w:highlight w:val="none"/>
              </w:rPr>
              <w:t>担任任务</w:t>
            </w:r>
          </w:p>
          <w:p>
            <w:pPr>
              <w:jc w:val="center"/>
              <w:rPr>
                <w:rFonts w:ascii="宋体" w:hAnsi="宋体" w:cs="宋体"/>
                <w:color w:val="auto"/>
                <w:szCs w:val="21"/>
                <w:highlight w:val="none"/>
              </w:rPr>
            </w:pPr>
          </w:p>
        </w:tc>
        <w:tc>
          <w:tcPr>
            <w:tcW w:w="6837"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11" w:hRule="atLeast"/>
        </w:trPr>
        <w:tc>
          <w:tcPr>
            <w:tcW w:w="2052" w:type="dxa"/>
            <w:vMerge w:val="restart"/>
            <w:tcBorders>
              <w:top w:val="single" w:color="auto" w:sz="8" w:space="0"/>
              <w:left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本人主要成果</w:t>
            </w: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项目名称及规模</w:t>
            </w: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完成年月</w:t>
            </w: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在该项目中任何职</w:t>
            </w:r>
          </w:p>
        </w:tc>
      </w:tr>
      <w:tr>
        <w:tblPrEx>
          <w:tblCellMar>
            <w:top w:w="0" w:type="dxa"/>
            <w:left w:w="0" w:type="dxa"/>
            <w:bottom w:w="0" w:type="dxa"/>
            <w:right w:w="0" w:type="dxa"/>
          </w:tblCellMar>
        </w:tblPrEx>
        <w:trPr>
          <w:trHeight w:val="734" w:hRule="atLeast"/>
        </w:trPr>
        <w:tc>
          <w:tcPr>
            <w:tcW w:w="2052"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p>
            <w:pPr>
              <w:spacing w:line="360" w:lineRule="exact"/>
              <w:jc w:val="center"/>
              <w:rPr>
                <w:rFonts w:ascii="宋体" w:hAnsi="宋体" w:cs="宋体"/>
                <w:color w:val="auto"/>
                <w:szCs w:val="21"/>
                <w:highlight w:val="none"/>
              </w:rPr>
            </w:pP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34" w:hRule="atLeast"/>
        </w:trPr>
        <w:tc>
          <w:tcPr>
            <w:tcW w:w="2052"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p>
            <w:pPr>
              <w:spacing w:line="360" w:lineRule="exact"/>
              <w:jc w:val="center"/>
              <w:rPr>
                <w:rFonts w:ascii="宋体" w:hAnsi="宋体" w:cs="宋体"/>
                <w:color w:val="auto"/>
                <w:szCs w:val="21"/>
                <w:highlight w:val="none"/>
              </w:rPr>
            </w:pP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94" w:hRule="atLeast"/>
        </w:trPr>
        <w:tc>
          <w:tcPr>
            <w:tcW w:w="2052"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p>
            <w:pPr>
              <w:spacing w:line="360" w:lineRule="exact"/>
              <w:jc w:val="center"/>
              <w:rPr>
                <w:rFonts w:ascii="宋体" w:hAnsi="宋体" w:cs="宋体"/>
                <w:color w:val="auto"/>
                <w:szCs w:val="21"/>
                <w:highlight w:val="none"/>
              </w:rPr>
            </w:pP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34" w:hRule="atLeast"/>
        </w:trPr>
        <w:tc>
          <w:tcPr>
            <w:tcW w:w="2052"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p>
            <w:pPr>
              <w:spacing w:line="360" w:lineRule="exact"/>
              <w:jc w:val="center"/>
              <w:rPr>
                <w:rFonts w:ascii="宋体" w:hAnsi="宋体" w:cs="宋体"/>
                <w:color w:val="auto"/>
                <w:szCs w:val="21"/>
                <w:highlight w:val="none"/>
              </w:rPr>
            </w:pP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734" w:hRule="atLeast"/>
        </w:trPr>
        <w:tc>
          <w:tcPr>
            <w:tcW w:w="2052"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p>
            <w:pPr>
              <w:spacing w:line="360" w:lineRule="exact"/>
              <w:jc w:val="center"/>
              <w:rPr>
                <w:rFonts w:ascii="宋体" w:hAnsi="宋体" w:cs="宋体"/>
                <w:color w:val="auto"/>
                <w:szCs w:val="21"/>
                <w:highlight w:val="none"/>
              </w:rPr>
            </w:pP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cantSplit/>
          <w:trHeight w:val="734" w:hRule="atLeast"/>
        </w:trPr>
        <w:tc>
          <w:tcPr>
            <w:tcW w:w="2052" w:type="dxa"/>
            <w:vMerge w:val="continue"/>
            <w:tcBorders>
              <w:left w:val="single" w:color="auto" w:sz="8" w:space="0"/>
              <w:right w:val="single" w:color="auto" w:sz="8" w:space="0"/>
            </w:tcBorders>
            <w:vAlign w:val="center"/>
          </w:tcPr>
          <w:p>
            <w:pPr>
              <w:jc w:val="center"/>
              <w:rPr>
                <w:rFonts w:ascii="宋体" w:hAnsi="宋体" w:cs="宋体"/>
                <w:color w:val="auto"/>
                <w:szCs w:val="21"/>
                <w:highlight w:val="none"/>
              </w:rPr>
            </w:pPr>
          </w:p>
        </w:tc>
        <w:tc>
          <w:tcPr>
            <w:tcW w:w="672"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248" w:type="dxa"/>
            <w:gridSpan w:val="3"/>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142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c>
          <w:tcPr>
            <w:tcW w:w="249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1209"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本人主要获奖情况</w:t>
            </w:r>
          </w:p>
        </w:tc>
        <w:tc>
          <w:tcPr>
            <w:tcW w:w="6837" w:type="dxa"/>
            <w:gridSpan w:val="7"/>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cs="宋体"/>
                <w:color w:val="auto"/>
                <w:szCs w:val="21"/>
                <w:highlight w:val="none"/>
              </w:rPr>
            </w:pPr>
          </w:p>
        </w:tc>
      </w:tr>
      <w:tr>
        <w:tblPrEx>
          <w:tblCellMar>
            <w:top w:w="0" w:type="dxa"/>
            <w:left w:w="0" w:type="dxa"/>
            <w:bottom w:w="0" w:type="dxa"/>
            <w:right w:w="0" w:type="dxa"/>
          </w:tblCellMar>
        </w:tblPrEx>
        <w:trPr>
          <w:trHeight w:val="661" w:hRule="exact"/>
        </w:trPr>
        <w:tc>
          <w:tcPr>
            <w:tcW w:w="20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其它需</w:t>
            </w:r>
          </w:p>
          <w:p>
            <w:pPr>
              <w:jc w:val="center"/>
              <w:rPr>
                <w:rFonts w:ascii="宋体" w:hAnsi="宋体" w:cs="宋体"/>
                <w:color w:val="auto"/>
                <w:szCs w:val="21"/>
                <w:highlight w:val="none"/>
              </w:rPr>
            </w:pPr>
            <w:r>
              <w:rPr>
                <w:rFonts w:hint="eastAsia" w:ascii="宋体" w:hAnsi="宋体" w:cs="宋体"/>
                <w:color w:val="auto"/>
                <w:szCs w:val="21"/>
                <w:highlight w:val="none"/>
              </w:rPr>
              <w:t>补充的情况</w:t>
            </w:r>
          </w:p>
        </w:tc>
        <w:tc>
          <w:tcPr>
            <w:tcW w:w="6837" w:type="dxa"/>
            <w:gridSpan w:val="7"/>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p>
        </w:tc>
      </w:tr>
    </w:tbl>
    <w:p>
      <w:pPr>
        <w:widowControl/>
        <w:adjustRightInd w:val="0"/>
        <w:snapToGrid w:val="0"/>
        <w:spacing w:line="360" w:lineRule="auto"/>
        <w:rPr>
          <w:rFonts w:hint="eastAsia" w:ascii="Times New Roman" w:hAnsi="Times New Roman"/>
          <w:color w:val="auto"/>
          <w:szCs w:val="24"/>
          <w:highlight w:val="none"/>
        </w:rPr>
      </w:pPr>
      <w:r>
        <w:rPr>
          <w:rFonts w:hint="eastAsia"/>
          <w:color w:val="auto"/>
          <w:highlight w:val="none"/>
        </w:rPr>
        <w:t>说明：</w:t>
      </w:r>
      <w:r>
        <w:rPr>
          <w:rFonts w:hint="eastAsia" w:ascii="Times New Roman" w:hAnsi="Times New Roman" w:eastAsia="宋体"/>
          <w:b w:val="0"/>
          <w:bCs w:val="0"/>
          <w:color w:val="auto"/>
          <w:sz w:val="21"/>
          <w:szCs w:val="24"/>
          <w:highlight w:val="none"/>
        </w:rPr>
        <w:t>项目负责人</w:t>
      </w:r>
      <w:r>
        <w:rPr>
          <w:rFonts w:hint="eastAsia"/>
          <w:color w:val="auto"/>
          <w:highlight w:val="none"/>
        </w:rPr>
        <w:t>证书、类似项目证明资料等</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olor w:val="auto"/>
          <w:szCs w:val="21"/>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eastAsia="zh-CN"/>
        </w:rPr>
        <w:t>供应商名称</w:t>
      </w:r>
      <w:r>
        <w:rPr>
          <w:rFonts w:hint="eastAsia" w:ascii="宋体" w:hAnsi="宋体"/>
          <w:color w:val="auto"/>
          <w:szCs w:val="21"/>
          <w:highlight w:val="none"/>
        </w:rPr>
        <w:t>（盖单位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color w:val="auto"/>
          <w:szCs w:val="21"/>
          <w:highlight w:val="none"/>
        </w:rPr>
      </w:pPr>
      <w:r>
        <w:rPr>
          <w:rFonts w:hint="eastAsia" w:cs="微软雅黑" w:asciiTheme="minorEastAsia" w:hAnsiTheme="minorEastAsia" w:eastAsiaTheme="minorEastAsia"/>
          <w:color w:val="auto"/>
          <w:spacing w:val="-2"/>
          <w:kern w:val="0"/>
          <w:szCs w:val="21"/>
          <w:highlight w:val="none"/>
        </w:rPr>
        <w:t>法</w:t>
      </w:r>
      <w:r>
        <w:rPr>
          <w:rFonts w:hint="eastAsia" w:cs="微软雅黑" w:asciiTheme="minorEastAsia" w:hAnsiTheme="minorEastAsia" w:eastAsiaTheme="minorEastAsia"/>
          <w:color w:val="auto"/>
          <w:kern w:val="0"/>
          <w:szCs w:val="21"/>
          <w:highlight w:val="none"/>
        </w:rPr>
        <w:t>定</w:t>
      </w:r>
      <w:r>
        <w:rPr>
          <w:rFonts w:hint="eastAsia" w:cs="微软雅黑" w:asciiTheme="minorEastAsia" w:hAnsiTheme="minorEastAsia" w:eastAsiaTheme="minorEastAsia"/>
          <w:color w:val="auto"/>
          <w:spacing w:val="-2"/>
          <w:kern w:val="0"/>
          <w:szCs w:val="21"/>
          <w:highlight w:val="none"/>
        </w:rPr>
        <w:t>代</w:t>
      </w:r>
      <w:r>
        <w:rPr>
          <w:rFonts w:hint="eastAsia" w:cs="微软雅黑" w:asciiTheme="minorEastAsia" w:hAnsiTheme="minorEastAsia" w:eastAsiaTheme="minorEastAsia"/>
          <w:color w:val="auto"/>
          <w:kern w:val="0"/>
          <w:szCs w:val="21"/>
          <w:highlight w:val="none"/>
        </w:rPr>
        <w:t>表</w:t>
      </w:r>
      <w:r>
        <w:rPr>
          <w:rFonts w:hint="eastAsia" w:cs="微软雅黑" w:asciiTheme="minorEastAsia" w:hAnsiTheme="minorEastAsia" w:eastAsiaTheme="minorEastAsia"/>
          <w:color w:val="auto"/>
          <w:spacing w:val="-2"/>
          <w:kern w:val="0"/>
          <w:szCs w:val="21"/>
          <w:highlight w:val="none"/>
        </w:rPr>
        <w:t>人</w:t>
      </w:r>
      <w:r>
        <w:rPr>
          <w:rFonts w:hint="eastAsia" w:cs="微软雅黑" w:asciiTheme="minorEastAsia" w:hAnsiTheme="minorEastAsia" w:eastAsiaTheme="minorEastAsia"/>
          <w:color w:val="auto"/>
          <w:kern w:val="0"/>
          <w:szCs w:val="21"/>
          <w:highlight w:val="none"/>
        </w:rPr>
        <w:t>（</w:t>
      </w:r>
      <w:r>
        <w:rPr>
          <w:rFonts w:hint="eastAsia" w:cs="微软雅黑" w:asciiTheme="minorEastAsia" w:hAnsiTheme="minorEastAsia" w:eastAsiaTheme="minorEastAsia"/>
          <w:color w:val="auto"/>
          <w:spacing w:val="-2"/>
          <w:kern w:val="0"/>
          <w:szCs w:val="21"/>
          <w:highlight w:val="none"/>
        </w:rPr>
        <w:t>单</w:t>
      </w:r>
      <w:r>
        <w:rPr>
          <w:rFonts w:hint="eastAsia" w:cs="微软雅黑" w:asciiTheme="minorEastAsia" w:hAnsiTheme="minorEastAsia" w:eastAsiaTheme="minorEastAsia"/>
          <w:color w:val="auto"/>
          <w:kern w:val="0"/>
          <w:szCs w:val="21"/>
          <w:highlight w:val="none"/>
        </w:rPr>
        <w:t>位</w:t>
      </w:r>
      <w:r>
        <w:rPr>
          <w:rFonts w:hint="eastAsia" w:cs="微软雅黑" w:asciiTheme="minorEastAsia" w:hAnsiTheme="minorEastAsia" w:eastAsiaTheme="minorEastAsia"/>
          <w:color w:val="auto"/>
          <w:spacing w:val="-2"/>
          <w:kern w:val="0"/>
          <w:szCs w:val="21"/>
          <w:highlight w:val="none"/>
        </w:rPr>
        <w:t>负</w:t>
      </w:r>
      <w:r>
        <w:rPr>
          <w:rFonts w:hint="eastAsia" w:cs="微软雅黑" w:asciiTheme="minorEastAsia" w:hAnsiTheme="minorEastAsia" w:eastAsiaTheme="minorEastAsia"/>
          <w:color w:val="auto"/>
          <w:kern w:val="0"/>
          <w:szCs w:val="21"/>
          <w:highlight w:val="none"/>
        </w:rPr>
        <w:t>责人</w:t>
      </w:r>
      <w:r>
        <w:rPr>
          <w:rFonts w:hint="eastAsia" w:cs="微软雅黑" w:asciiTheme="minorEastAsia" w:hAnsiTheme="minorEastAsia" w:eastAsiaTheme="minorEastAsia"/>
          <w:color w:val="auto"/>
          <w:spacing w:val="-2"/>
          <w:kern w:val="0"/>
          <w:szCs w:val="21"/>
          <w:highlight w:val="none"/>
        </w:rPr>
        <w:t>）</w:t>
      </w:r>
      <w:r>
        <w:rPr>
          <w:rFonts w:hint="eastAsia" w:ascii="宋体" w:hAnsi="宋体"/>
          <w:color w:val="auto"/>
          <w:szCs w:val="21"/>
          <w:highlight w:val="none"/>
        </w:rPr>
        <w:t>或其</w:t>
      </w:r>
      <w:r>
        <w:rPr>
          <w:rFonts w:hint="eastAsia" w:ascii="宋体" w:hAnsi="宋体"/>
          <w:color w:val="auto"/>
          <w:szCs w:val="21"/>
          <w:highlight w:val="none"/>
          <w:lang w:eastAsia="zh-CN"/>
        </w:rPr>
        <w:t>授权的代理人</w:t>
      </w:r>
      <w:r>
        <w:rPr>
          <w:rFonts w:hint="eastAsia" w:ascii="宋体" w:hAnsi="宋体"/>
          <w:color w:val="auto"/>
          <w:szCs w:val="21"/>
          <w:highlight w:val="none"/>
        </w:rPr>
        <w:t>（签字或印章）：</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tLeast"/>
        <w:jc w:val="left"/>
        <w:rPr>
          <w:rFonts w:ascii="宋体" w:hAnsi="宋体"/>
          <w:b/>
          <w:bCs/>
          <w:color w:val="auto"/>
          <w:highlight w:val="none"/>
        </w:rPr>
      </w:pPr>
      <w:r>
        <w:rPr>
          <w:rFonts w:hint="eastAsia" w:ascii="宋体" w:hAnsi="宋体"/>
          <w:b/>
          <w:bCs/>
          <w:color w:val="auto"/>
          <w:highlight w:val="none"/>
        </w:rPr>
        <w:t>主要人员简历表（格式）</w:t>
      </w:r>
    </w:p>
    <w:p>
      <w:pPr>
        <w:spacing w:line="360" w:lineRule="atLeast"/>
        <w:jc w:val="center"/>
        <w:rPr>
          <w:rFonts w:ascii="方正小标宋_GBK" w:eastAsia="方正小标宋_GBK"/>
          <w:color w:val="auto"/>
          <w:sz w:val="36"/>
          <w:szCs w:val="36"/>
          <w:highlight w:val="none"/>
        </w:rPr>
      </w:pPr>
    </w:p>
    <w:p>
      <w:pPr>
        <w:jc w:val="center"/>
        <w:rPr>
          <w:rFonts w:hint="eastAsia" w:ascii="黑体" w:hAnsi="宋体" w:eastAsia="黑体" w:cs="Times New Roman"/>
          <w:b/>
          <w:bCs/>
          <w:color w:val="auto"/>
          <w:sz w:val="28"/>
          <w:szCs w:val="28"/>
          <w:highlight w:val="none"/>
          <w:lang w:val="en-US" w:eastAsia="zh-CN"/>
        </w:rPr>
      </w:pPr>
      <w:r>
        <w:rPr>
          <w:rFonts w:hint="eastAsia" w:ascii="黑体" w:hAnsi="宋体" w:eastAsia="黑体" w:cs="Times New Roman"/>
          <w:b/>
          <w:bCs/>
          <w:color w:val="auto"/>
          <w:sz w:val="28"/>
          <w:szCs w:val="28"/>
          <w:highlight w:val="none"/>
          <w:lang w:val="en-US" w:eastAsia="zh-CN"/>
        </w:rPr>
        <w:t>主要人员简历表(服务类项目)</w:t>
      </w:r>
    </w:p>
    <w:tbl>
      <w:tblPr>
        <w:tblStyle w:val="29"/>
        <w:tblW w:w="881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833"/>
        <w:gridCol w:w="2278"/>
        <w:gridCol w:w="1824"/>
        <w:gridCol w:w="648"/>
        <w:gridCol w:w="18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exact"/>
        </w:trPr>
        <w:tc>
          <w:tcPr>
            <w:tcW w:w="2193" w:type="dxa"/>
            <w:gridSpan w:val="2"/>
            <w:vAlign w:val="center"/>
          </w:tcPr>
          <w:p>
            <w:pPr>
              <w:spacing w:line="360" w:lineRule="atLeast"/>
              <w:jc w:val="center"/>
              <w:rPr>
                <w:rFonts w:ascii="宋体"/>
                <w:color w:val="auto"/>
                <w:highlight w:val="none"/>
              </w:rPr>
            </w:pPr>
            <w:r>
              <w:rPr>
                <w:rFonts w:hint="eastAsia" w:ascii="宋体"/>
                <w:color w:val="auto"/>
                <w:highlight w:val="none"/>
              </w:rPr>
              <w:t>姓</w:t>
            </w:r>
            <w:r>
              <w:rPr>
                <w:rFonts w:ascii="宋体"/>
                <w:color w:val="auto"/>
                <w:highlight w:val="none"/>
              </w:rPr>
              <w:t xml:space="preserve">   </w:t>
            </w:r>
            <w:r>
              <w:rPr>
                <w:rFonts w:hint="eastAsia" w:ascii="宋体"/>
                <w:color w:val="auto"/>
                <w:highlight w:val="none"/>
              </w:rPr>
              <w:t>名</w:t>
            </w:r>
          </w:p>
        </w:tc>
        <w:tc>
          <w:tcPr>
            <w:tcW w:w="2278" w:type="dxa"/>
            <w:vAlign w:val="center"/>
          </w:tcPr>
          <w:p>
            <w:pPr>
              <w:spacing w:line="360" w:lineRule="atLeast"/>
              <w:jc w:val="center"/>
              <w:rPr>
                <w:rFonts w:ascii="宋体"/>
                <w:color w:val="auto"/>
                <w:highlight w:val="none"/>
              </w:rPr>
            </w:pPr>
          </w:p>
        </w:tc>
        <w:tc>
          <w:tcPr>
            <w:tcW w:w="2472" w:type="dxa"/>
            <w:gridSpan w:val="2"/>
            <w:vAlign w:val="center"/>
          </w:tcPr>
          <w:p>
            <w:pPr>
              <w:spacing w:line="360" w:lineRule="atLeast"/>
              <w:jc w:val="center"/>
              <w:rPr>
                <w:rFonts w:ascii="宋体"/>
                <w:color w:val="auto"/>
                <w:highlight w:val="none"/>
              </w:rPr>
            </w:pPr>
            <w:r>
              <w:rPr>
                <w:rFonts w:hint="eastAsia" w:ascii="宋体"/>
                <w:color w:val="auto"/>
                <w:highlight w:val="none"/>
              </w:rPr>
              <w:t>性</w:t>
            </w:r>
            <w:r>
              <w:rPr>
                <w:rFonts w:ascii="宋体"/>
                <w:color w:val="auto"/>
                <w:highlight w:val="none"/>
              </w:rPr>
              <w:t xml:space="preserve">  </w:t>
            </w:r>
            <w:r>
              <w:rPr>
                <w:rFonts w:hint="eastAsia" w:ascii="宋体"/>
                <w:color w:val="auto"/>
                <w:highlight w:val="none"/>
              </w:rPr>
              <w:t>别</w:t>
            </w:r>
          </w:p>
        </w:tc>
        <w:tc>
          <w:tcPr>
            <w:tcW w:w="1872" w:type="dxa"/>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exact"/>
        </w:trPr>
        <w:tc>
          <w:tcPr>
            <w:tcW w:w="2193" w:type="dxa"/>
            <w:gridSpan w:val="2"/>
            <w:vAlign w:val="center"/>
          </w:tcPr>
          <w:p>
            <w:pPr>
              <w:spacing w:line="360" w:lineRule="atLeast"/>
              <w:jc w:val="center"/>
              <w:rPr>
                <w:rFonts w:ascii="宋体"/>
                <w:color w:val="auto"/>
                <w:highlight w:val="none"/>
              </w:rPr>
            </w:pPr>
            <w:r>
              <w:rPr>
                <w:rFonts w:hint="eastAsia" w:ascii="宋体"/>
                <w:color w:val="auto"/>
                <w:highlight w:val="none"/>
              </w:rPr>
              <w:t>职</w:t>
            </w:r>
            <w:r>
              <w:rPr>
                <w:rFonts w:ascii="宋体"/>
                <w:color w:val="auto"/>
                <w:highlight w:val="none"/>
              </w:rPr>
              <w:t xml:space="preserve">   </w:t>
            </w:r>
            <w:r>
              <w:rPr>
                <w:rFonts w:hint="eastAsia" w:ascii="宋体"/>
                <w:color w:val="auto"/>
                <w:highlight w:val="none"/>
              </w:rPr>
              <w:t>务</w:t>
            </w:r>
          </w:p>
        </w:tc>
        <w:tc>
          <w:tcPr>
            <w:tcW w:w="2278" w:type="dxa"/>
            <w:vAlign w:val="center"/>
          </w:tcPr>
          <w:p>
            <w:pPr>
              <w:spacing w:line="360" w:lineRule="atLeast"/>
              <w:jc w:val="center"/>
              <w:rPr>
                <w:rFonts w:ascii="宋体"/>
                <w:color w:val="auto"/>
                <w:highlight w:val="none"/>
              </w:rPr>
            </w:pPr>
          </w:p>
        </w:tc>
        <w:tc>
          <w:tcPr>
            <w:tcW w:w="2472" w:type="dxa"/>
            <w:gridSpan w:val="2"/>
            <w:vAlign w:val="center"/>
          </w:tcPr>
          <w:p>
            <w:pPr>
              <w:spacing w:line="360" w:lineRule="atLeast"/>
              <w:jc w:val="center"/>
              <w:rPr>
                <w:rFonts w:ascii="宋体"/>
                <w:color w:val="auto"/>
                <w:highlight w:val="none"/>
              </w:rPr>
            </w:pPr>
            <w:r>
              <w:rPr>
                <w:rFonts w:hint="eastAsia" w:ascii="宋体"/>
                <w:color w:val="auto"/>
                <w:highlight w:val="none"/>
              </w:rPr>
              <w:t>职</w:t>
            </w:r>
            <w:r>
              <w:rPr>
                <w:rFonts w:ascii="宋体"/>
                <w:color w:val="auto"/>
                <w:highlight w:val="none"/>
              </w:rPr>
              <w:t xml:space="preserve">  </w:t>
            </w:r>
            <w:r>
              <w:rPr>
                <w:rFonts w:hint="eastAsia" w:ascii="宋体"/>
                <w:color w:val="auto"/>
                <w:highlight w:val="none"/>
              </w:rPr>
              <w:t>称</w:t>
            </w:r>
          </w:p>
        </w:tc>
        <w:tc>
          <w:tcPr>
            <w:tcW w:w="1872" w:type="dxa"/>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2" w:hRule="exact"/>
        </w:trPr>
        <w:tc>
          <w:tcPr>
            <w:tcW w:w="2193" w:type="dxa"/>
            <w:gridSpan w:val="2"/>
            <w:vAlign w:val="center"/>
          </w:tcPr>
          <w:p>
            <w:pPr>
              <w:spacing w:line="360" w:lineRule="atLeast"/>
              <w:jc w:val="center"/>
              <w:rPr>
                <w:rFonts w:ascii="宋体"/>
                <w:color w:val="auto"/>
                <w:highlight w:val="none"/>
              </w:rPr>
            </w:pPr>
            <w:r>
              <w:rPr>
                <w:rFonts w:hint="eastAsia" w:ascii="宋体"/>
                <w:color w:val="auto"/>
                <w:highlight w:val="none"/>
              </w:rPr>
              <w:t>毕业学校、专业</w:t>
            </w:r>
          </w:p>
        </w:tc>
        <w:tc>
          <w:tcPr>
            <w:tcW w:w="6622" w:type="dxa"/>
            <w:gridSpan w:val="4"/>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5" w:hRule="exact"/>
        </w:trPr>
        <w:tc>
          <w:tcPr>
            <w:tcW w:w="2193" w:type="dxa"/>
            <w:gridSpan w:val="2"/>
            <w:vAlign w:val="center"/>
          </w:tcPr>
          <w:p>
            <w:pPr>
              <w:spacing w:line="360" w:lineRule="atLeast"/>
              <w:jc w:val="center"/>
              <w:rPr>
                <w:rFonts w:ascii="宋体"/>
                <w:color w:val="auto"/>
                <w:highlight w:val="none"/>
              </w:rPr>
            </w:pPr>
            <w:r>
              <w:rPr>
                <w:rFonts w:hint="eastAsia" w:ascii="宋体"/>
                <w:color w:val="auto"/>
                <w:highlight w:val="none"/>
              </w:rPr>
              <w:t>身份证号</w:t>
            </w:r>
          </w:p>
        </w:tc>
        <w:tc>
          <w:tcPr>
            <w:tcW w:w="2278" w:type="dxa"/>
            <w:vAlign w:val="center"/>
          </w:tcPr>
          <w:p>
            <w:pPr>
              <w:spacing w:line="360" w:lineRule="atLeast"/>
              <w:jc w:val="center"/>
              <w:rPr>
                <w:rFonts w:ascii="宋体"/>
                <w:color w:val="auto"/>
                <w:highlight w:val="none"/>
              </w:rPr>
            </w:pPr>
          </w:p>
        </w:tc>
        <w:tc>
          <w:tcPr>
            <w:tcW w:w="2472" w:type="dxa"/>
            <w:gridSpan w:val="2"/>
            <w:vAlign w:val="center"/>
          </w:tcPr>
          <w:p>
            <w:pPr>
              <w:spacing w:line="360" w:lineRule="atLeast"/>
              <w:jc w:val="center"/>
              <w:rPr>
                <w:rFonts w:ascii="宋体"/>
                <w:color w:val="auto"/>
                <w:highlight w:val="none"/>
              </w:rPr>
            </w:pPr>
            <w:r>
              <w:rPr>
                <w:rFonts w:hint="eastAsia" w:ascii="宋体"/>
                <w:color w:val="auto"/>
                <w:highlight w:val="none"/>
              </w:rPr>
              <w:t>拟在本合同任职</w:t>
            </w:r>
          </w:p>
        </w:tc>
        <w:tc>
          <w:tcPr>
            <w:tcW w:w="1872" w:type="dxa"/>
            <w:vAlign w:val="center"/>
          </w:tcPr>
          <w:p>
            <w:pPr>
              <w:spacing w:line="360" w:lineRule="atLeast"/>
              <w:ind w:right="-105" w:rightChars="-50"/>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5" w:hRule="exact"/>
        </w:trPr>
        <w:tc>
          <w:tcPr>
            <w:tcW w:w="2193" w:type="dxa"/>
            <w:gridSpan w:val="2"/>
            <w:vAlign w:val="center"/>
          </w:tcPr>
          <w:p>
            <w:pPr>
              <w:spacing w:line="360" w:lineRule="atLeast"/>
              <w:jc w:val="center"/>
              <w:rPr>
                <w:rFonts w:ascii="宋体"/>
                <w:color w:val="auto"/>
                <w:highlight w:val="none"/>
              </w:rPr>
            </w:pPr>
            <w:r>
              <w:rPr>
                <w:rFonts w:hint="eastAsia" w:ascii="宋体"/>
                <w:color w:val="auto"/>
                <w:highlight w:val="none"/>
              </w:rPr>
              <w:t>执业资格证</w:t>
            </w:r>
          </w:p>
        </w:tc>
        <w:tc>
          <w:tcPr>
            <w:tcW w:w="2278" w:type="dxa"/>
            <w:vAlign w:val="center"/>
          </w:tcPr>
          <w:p>
            <w:pPr>
              <w:spacing w:line="360" w:lineRule="atLeast"/>
              <w:jc w:val="center"/>
              <w:rPr>
                <w:rFonts w:ascii="宋体"/>
                <w:color w:val="auto"/>
                <w:highlight w:val="none"/>
              </w:rPr>
            </w:pPr>
          </w:p>
        </w:tc>
        <w:tc>
          <w:tcPr>
            <w:tcW w:w="2472" w:type="dxa"/>
            <w:gridSpan w:val="2"/>
            <w:vAlign w:val="center"/>
          </w:tcPr>
          <w:p>
            <w:pPr>
              <w:spacing w:line="360" w:lineRule="atLeast"/>
              <w:jc w:val="center"/>
              <w:rPr>
                <w:rFonts w:ascii="宋体"/>
                <w:color w:val="auto"/>
                <w:highlight w:val="none"/>
              </w:rPr>
            </w:pPr>
            <w:r>
              <w:rPr>
                <w:rFonts w:hint="eastAsia" w:ascii="宋体"/>
                <w:color w:val="auto"/>
                <w:highlight w:val="none"/>
              </w:rPr>
              <w:t>执业资格证书号</w:t>
            </w:r>
          </w:p>
        </w:tc>
        <w:tc>
          <w:tcPr>
            <w:tcW w:w="1872" w:type="dxa"/>
            <w:vAlign w:val="center"/>
          </w:tcPr>
          <w:p>
            <w:pP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9" w:hRule="exact"/>
        </w:trPr>
        <w:tc>
          <w:tcPr>
            <w:tcW w:w="8815" w:type="dxa"/>
            <w:gridSpan w:val="6"/>
            <w:vAlign w:val="center"/>
          </w:tcPr>
          <w:p>
            <w:pPr>
              <w:spacing w:line="360" w:lineRule="atLeast"/>
              <w:rPr>
                <w:rFonts w:ascii="宋体"/>
                <w:color w:val="auto"/>
                <w:highlight w:val="none"/>
              </w:rPr>
            </w:pPr>
            <w:r>
              <w:rPr>
                <w:rFonts w:hint="eastAsia" w:ascii="宋体"/>
                <w:color w:val="auto"/>
                <w:highlight w:val="none"/>
              </w:rPr>
              <w:t>近三年承担项目情况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r>
              <w:rPr>
                <w:rFonts w:hint="eastAsia" w:ascii="宋体"/>
                <w:color w:val="auto"/>
                <w:highlight w:val="none"/>
              </w:rPr>
              <w:t>时间</w:t>
            </w:r>
          </w:p>
        </w:tc>
        <w:tc>
          <w:tcPr>
            <w:tcW w:w="3111" w:type="dxa"/>
            <w:gridSpan w:val="2"/>
            <w:vAlign w:val="center"/>
          </w:tcPr>
          <w:p>
            <w:pPr>
              <w:spacing w:line="360" w:lineRule="atLeast"/>
              <w:jc w:val="center"/>
              <w:rPr>
                <w:rFonts w:ascii="宋体"/>
                <w:color w:val="auto"/>
                <w:highlight w:val="none"/>
              </w:rPr>
            </w:pPr>
            <w:r>
              <w:rPr>
                <w:rFonts w:hint="eastAsia" w:ascii="宋体"/>
                <w:color w:val="auto"/>
                <w:highlight w:val="none"/>
              </w:rPr>
              <w:t>类似项目名称</w:t>
            </w:r>
          </w:p>
        </w:tc>
        <w:tc>
          <w:tcPr>
            <w:tcW w:w="1824" w:type="dxa"/>
            <w:vAlign w:val="center"/>
          </w:tcPr>
          <w:p>
            <w:pPr>
              <w:spacing w:line="360" w:lineRule="atLeast"/>
              <w:jc w:val="center"/>
              <w:rPr>
                <w:rFonts w:ascii="宋体"/>
                <w:color w:val="auto"/>
                <w:highlight w:val="none"/>
              </w:rPr>
            </w:pPr>
            <w:r>
              <w:rPr>
                <w:rFonts w:hint="eastAsia" w:ascii="宋体"/>
                <w:color w:val="auto"/>
                <w:highlight w:val="none"/>
              </w:rPr>
              <w:t>担任职务</w:t>
            </w:r>
          </w:p>
        </w:tc>
        <w:tc>
          <w:tcPr>
            <w:tcW w:w="2520" w:type="dxa"/>
            <w:gridSpan w:val="2"/>
            <w:vAlign w:val="center"/>
          </w:tcPr>
          <w:p>
            <w:pPr>
              <w:spacing w:line="360" w:lineRule="atLeast"/>
              <w:jc w:val="center"/>
              <w:rPr>
                <w:rFonts w:ascii="宋体"/>
                <w:color w:val="auto"/>
                <w:highlight w:val="none"/>
              </w:rPr>
            </w:pPr>
            <w:r>
              <w:rPr>
                <w:rFonts w:hint="eastAsia" w:ascii="宋体"/>
                <w:color w:val="auto"/>
                <w:highlight w:val="none"/>
              </w:rPr>
              <w:t>项目单位名称及电话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9" w:hRule="exact"/>
        </w:trPr>
        <w:tc>
          <w:tcPr>
            <w:tcW w:w="1360" w:type="dxa"/>
            <w:vAlign w:val="center"/>
          </w:tcPr>
          <w:p>
            <w:pPr>
              <w:spacing w:line="360" w:lineRule="atLeast"/>
              <w:jc w:val="center"/>
              <w:rPr>
                <w:rFonts w:ascii="宋体"/>
                <w:color w:val="auto"/>
                <w:highlight w:val="none"/>
              </w:rPr>
            </w:pPr>
          </w:p>
        </w:tc>
        <w:tc>
          <w:tcPr>
            <w:tcW w:w="3111" w:type="dxa"/>
            <w:gridSpan w:val="2"/>
            <w:vAlign w:val="center"/>
          </w:tcPr>
          <w:p>
            <w:pPr>
              <w:spacing w:line="360" w:lineRule="atLeast"/>
              <w:jc w:val="center"/>
              <w:rPr>
                <w:rFonts w:ascii="宋体"/>
                <w:color w:val="auto"/>
                <w:highlight w:val="none"/>
              </w:rPr>
            </w:pPr>
          </w:p>
        </w:tc>
        <w:tc>
          <w:tcPr>
            <w:tcW w:w="1824" w:type="dxa"/>
            <w:vAlign w:val="center"/>
          </w:tcPr>
          <w:p>
            <w:pPr>
              <w:spacing w:line="360" w:lineRule="atLeast"/>
              <w:jc w:val="center"/>
              <w:rPr>
                <w:rFonts w:ascii="宋体"/>
                <w:color w:val="auto"/>
                <w:highlight w:val="none"/>
              </w:rPr>
            </w:pPr>
          </w:p>
        </w:tc>
        <w:tc>
          <w:tcPr>
            <w:tcW w:w="2520" w:type="dxa"/>
            <w:gridSpan w:val="2"/>
            <w:vAlign w:val="center"/>
          </w:tcPr>
          <w:p>
            <w:pPr>
              <w:spacing w:line="360" w:lineRule="atLeast"/>
              <w:jc w:val="center"/>
              <w:rPr>
                <w:rFonts w:ascii="宋体"/>
                <w:color w:val="auto"/>
                <w:highlight w:val="none"/>
              </w:rPr>
            </w:pPr>
          </w:p>
        </w:tc>
      </w:tr>
    </w:tbl>
    <w:p>
      <w:pPr>
        <w:adjustRightInd w:val="0"/>
        <w:snapToGrid w:val="0"/>
        <w:spacing w:line="360" w:lineRule="auto"/>
        <w:rPr>
          <w:rFonts w:ascii="宋体" w:hAnsi="宋体"/>
          <w:color w:val="auto"/>
          <w:szCs w:val="21"/>
          <w:highlight w:val="none"/>
        </w:rPr>
      </w:pPr>
      <w:r>
        <w:rPr>
          <w:rFonts w:hint="eastAsia"/>
          <w:color w:val="auto"/>
          <w:highlight w:val="none"/>
        </w:rPr>
        <w:t>说明：主要人员证书、类似项目证明资料等</w:t>
      </w:r>
    </w:p>
    <w:p>
      <w:pPr>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eastAsia="zh-CN"/>
        </w:rPr>
        <w:t>供应商名称</w:t>
      </w:r>
      <w:r>
        <w:rPr>
          <w:rFonts w:hint="eastAsia" w:ascii="宋体" w:hAnsi="宋体"/>
          <w:color w:val="auto"/>
          <w:szCs w:val="21"/>
          <w:highlight w:val="none"/>
        </w:rPr>
        <w:t>（盖单位公章）：</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olor w:val="auto"/>
          <w:szCs w:val="21"/>
          <w:highlight w:val="none"/>
          <w:u w:val="single"/>
        </w:rPr>
      </w:pPr>
      <w:r>
        <w:rPr>
          <w:rFonts w:hint="eastAsia" w:ascii="宋体" w:hAnsi="宋体" w:cs="微软雅黑"/>
          <w:color w:val="auto"/>
          <w:spacing w:val="-2"/>
          <w:kern w:val="0"/>
          <w:szCs w:val="21"/>
          <w:highlight w:val="none"/>
        </w:rPr>
        <w:t>法</w:t>
      </w:r>
      <w:r>
        <w:rPr>
          <w:rFonts w:hint="eastAsia" w:ascii="宋体" w:hAnsi="宋体" w:cs="微软雅黑"/>
          <w:color w:val="auto"/>
          <w:kern w:val="0"/>
          <w:szCs w:val="21"/>
          <w:highlight w:val="none"/>
        </w:rPr>
        <w:t>定</w:t>
      </w:r>
      <w:r>
        <w:rPr>
          <w:rFonts w:hint="eastAsia" w:ascii="宋体" w:hAnsi="宋体" w:cs="微软雅黑"/>
          <w:color w:val="auto"/>
          <w:spacing w:val="-2"/>
          <w:kern w:val="0"/>
          <w:szCs w:val="21"/>
          <w:highlight w:val="none"/>
        </w:rPr>
        <w:t>代</w:t>
      </w:r>
      <w:r>
        <w:rPr>
          <w:rFonts w:hint="eastAsia" w:ascii="宋体" w:hAnsi="宋体" w:cs="微软雅黑"/>
          <w:color w:val="auto"/>
          <w:kern w:val="0"/>
          <w:szCs w:val="21"/>
          <w:highlight w:val="none"/>
        </w:rPr>
        <w:t>表</w:t>
      </w:r>
      <w:r>
        <w:rPr>
          <w:rFonts w:hint="eastAsia" w:ascii="宋体" w:hAnsi="宋体" w:cs="微软雅黑"/>
          <w:color w:val="auto"/>
          <w:spacing w:val="-2"/>
          <w:kern w:val="0"/>
          <w:szCs w:val="21"/>
          <w:highlight w:val="none"/>
        </w:rPr>
        <w:t>人</w:t>
      </w:r>
      <w:r>
        <w:rPr>
          <w:rFonts w:hint="eastAsia" w:ascii="宋体" w:hAnsi="宋体" w:cs="微软雅黑"/>
          <w:color w:val="auto"/>
          <w:kern w:val="0"/>
          <w:szCs w:val="21"/>
          <w:highlight w:val="none"/>
        </w:rPr>
        <w:t>（</w:t>
      </w:r>
      <w:r>
        <w:rPr>
          <w:rFonts w:hint="eastAsia" w:ascii="宋体" w:hAnsi="宋体" w:cs="微软雅黑"/>
          <w:color w:val="auto"/>
          <w:spacing w:val="-2"/>
          <w:kern w:val="0"/>
          <w:szCs w:val="21"/>
          <w:highlight w:val="none"/>
        </w:rPr>
        <w:t>单</w:t>
      </w:r>
      <w:r>
        <w:rPr>
          <w:rFonts w:hint="eastAsia" w:ascii="宋体" w:hAnsi="宋体" w:cs="微软雅黑"/>
          <w:color w:val="auto"/>
          <w:kern w:val="0"/>
          <w:szCs w:val="21"/>
          <w:highlight w:val="none"/>
        </w:rPr>
        <w:t>位</w:t>
      </w:r>
      <w:r>
        <w:rPr>
          <w:rFonts w:hint="eastAsia" w:ascii="宋体" w:hAnsi="宋体" w:cs="微软雅黑"/>
          <w:color w:val="auto"/>
          <w:spacing w:val="-2"/>
          <w:kern w:val="0"/>
          <w:szCs w:val="21"/>
          <w:highlight w:val="none"/>
        </w:rPr>
        <w:t>负</w:t>
      </w:r>
      <w:r>
        <w:rPr>
          <w:rFonts w:hint="eastAsia" w:ascii="宋体" w:hAnsi="宋体" w:cs="微软雅黑"/>
          <w:color w:val="auto"/>
          <w:kern w:val="0"/>
          <w:szCs w:val="21"/>
          <w:highlight w:val="none"/>
        </w:rPr>
        <w:t>责人</w:t>
      </w:r>
      <w:r>
        <w:rPr>
          <w:rFonts w:hint="eastAsia" w:ascii="宋体" w:hAnsi="宋体" w:cs="微软雅黑"/>
          <w:color w:val="auto"/>
          <w:spacing w:val="-2"/>
          <w:kern w:val="0"/>
          <w:szCs w:val="21"/>
          <w:highlight w:val="none"/>
        </w:rPr>
        <w:t>）</w:t>
      </w:r>
      <w:r>
        <w:rPr>
          <w:rFonts w:hint="eastAsia" w:ascii="宋体" w:hAnsi="宋体"/>
          <w:color w:val="auto"/>
          <w:szCs w:val="21"/>
          <w:highlight w:val="none"/>
        </w:rPr>
        <w:t>或其授权的代理人（签字或印章）：</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s="微软雅黑"/>
          <w:color w:val="auto"/>
          <w:kern w:val="0"/>
          <w:szCs w:val="21"/>
          <w:highlight w:val="none"/>
        </w:rPr>
      </w:pPr>
      <w:r>
        <w:rPr>
          <w:rFonts w:hint="eastAsia" w:ascii="宋体" w:hAnsi="宋体" w:cs="微软雅黑"/>
          <w:color w:val="auto"/>
          <w:kern w:val="0"/>
          <w:szCs w:val="21"/>
          <w:highlight w:val="none"/>
        </w:rPr>
        <w:t>日期：</w:t>
      </w:r>
      <w:r>
        <w:rPr>
          <w:rFonts w:hint="eastAsia" w:ascii="宋体" w:hAnsi="宋体" w:cs="微软雅黑"/>
          <w:color w:val="auto"/>
          <w:kern w:val="0"/>
          <w:szCs w:val="21"/>
          <w:highlight w:val="none"/>
          <w:u w:val="single"/>
        </w:rPr>
        <w:t xml:space="preserve">    </w:t>
      </w:r>
      <w:r>
        <w:rPr>
          <w:rFonts w:hint="eastAsia" w:ascii="宋体" w:hAnsi="宋体" w:cs="微软雅黑"/>
          <w:color w:val="auto"/>
          <w:kern w:val="0"/>
          <w:szCs w:val="21"/>
          <w:highlight w:val="none"/>
          <w:u w:val="single"/>
          <w:lang w:val="en-US" w:eastAsia="zh-CN"/>
        </w:rPr>
        <w:t xml:space="preserve"> </w:t>
      </w:r>
      <w:r>
        <w:rPr>
          <w:rFonts w:hint="eastAsia" w:ascii="宋体" w:hAnsi="宋体" w:cs="微软雅黑"/>
          <w:color w:val="auto"/>
          <w:kern w:val="0"/>
          <w:szCs w:val="21"/>
          <w:highlight w:val="none"/>
        </w:rPr>
        <w:t>年</w:t>
      </w:r>
      <w:r>
        <w:rPr>
          <w:rFonts w:hint="eastAsia" w:ascii="宋体" w:hAnsi="宋体" w:cs="微软雅黑"/>
          <w:color w:val="auto"/>
          <w:kern w:val="0"/>
          <w:szCs w:val="21"/>
          <w:highlight w:val="none"/>
          <w:u w:val="single"/>
        </w:rPr>
        <w:t xml:space="preserve">    </w:t>
      </w:r>
      <w:r>
        <w:rPr>
          <w:rFonts w:hint="eastAsia" w:ascii="宋体" w:hAnsi="宋体" w:cs="微软雅黑"/>
          <w:color w:val="auto"/>
          <w:kern w:val="0"/>
          <w:szCs w:val="21"/>
          <w:highlight w:val="none"/>
        </w:rPr>
        <w:t>月</w:t>
      </w:r>
      <w:r>
        <w:rPr>
          <w:rFonts w:hint="eastAsia" w:ascii="宋体" w:hAnsi="宋体" w:cs="微软雅黑"/>
          <w:color w:val="auto"/>
          <w:kern w:val="0"/>
          <w:szCs w:val="21"/>
          <w:highlight w:val="none"/>
          <w:u w:val="single"/>
        </w:rPr>
        <w:t xml:space="preserve">    </w:t>
      </w:r>
      <w:r>
        <w:rPr>
          <w:rFonts w:hint="eastAsia" w:ascii="宋体" w:hAnsi="宋体" w:cs="微软雅黑"/>
          <w:color w:val="auto"/>
          <w:kern w:val="0"/>
          <w:szCs w:val="21"/>
          <w:highlight w:val="none"/>
        </w:rPr>
        <w:t>日</w:t>
      </w:r>
    </w:p>
    <w:p>
      <w:pPr>
        <w:adjustRightInd w:val="0"/>
        <w:snapToGrid w:val="0"/>
        <w:spacing w:before="156" w:beforeLines="50" w:line="360" w:lineRule="auto"/>
        <w:rPr>
          <w:rFonts w:hint="eastAsia" w:ascii="宋体" w:hAnsi="宋体"/>
          <w:b/>
          <w:bCs/>
          <w:color w:val="auto"/>
          <w:highlight w:val="none"/>
        </w:rPr>
      </w:pPr>
    </w:p>
    <w:p>
      <w:pPr>
        <w:adjustRightInd w:val="0"/>
        <w:snapToGrid w:val="0"/>
        <w:spacing w:before="156" w:beforeLines="50" w:line="360" w:lineRule="auto"/>
        <w:rPr>
          <w:rFonts w:hint="eastAsia" w:ascii="宋体" w:hAnsi="宋体"/>
          <w:b/>
          <w:bCs/>
          <w:color w:val="auto"/>
          <w:highlight w:val="none"/>
        </w:rPr>
      </w:pPr>
    </w:p>
    <w:p>
      <w:pPr>
        <w:pStyle w:val="11"/>
        <w:jc w:val="center"/>
        <w:rPr>
          <w:rFonts w:hint="eastAsia"/>
          <w:color w:val="auto"/>
          <w:highlight w:val="none"/>
        </w:rPr>
      </w:pPr>
      <w:r>
        <w:rPr>
          <w:rFonts w:hint="eastAsia"/>
          <w:color w:val="auto"/>
          <w:highlight w:val="none"/>
        </w:rPr>
        <w:t>拟投入本项目的工作人员配置一览表</w:t>
      </w:r>
    </w:p>
    <w:tbl>
      <w:tblPr>
        <w:tblStyle w:val="2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761"/>
        <w:gridCol w:w="1020"/>
        <w:gridCol w:w="1568"/>
        <w:gridCol w:w="1004"/>
        <w:gridCol w:w="16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131" w:type="dxa"/>
            <w:noWrap w:val="0"/>
            <w:vAlign w:val="center"/>
          </w:tcPr>
          <w:p>
            <w:pPr>
              <w:spacing w:line="360" w:lineRule="auto"/>
              <w:rPr>
                <w:color w:val="auto"/>
                <w:highlight w:val="none"/>
              </w:rPr>
            </w:pPr>
            <w:r>
              <w:rPr>
                <w:rFonts w:hint="eastAsia"/>
                <w:color w:val="auto"/>
                <w:highlight w:val="none"/>
              </w:rPr>
              <w:t>组内职务</w:t>
            </w:r>
          </w:p>
        </w:tc>
        <w:tc>
          <w:tcPr>
            <w:tcW w:w="761" w:type="dxa"/>
            <w:noWrap w:val="0"/>
            <w:vAlign w:val="center"/>
          </w:tcPr>
          <w:p>
            <w:pPr>
              <w:spacing w:line="360" w:lineRule="auto"/>
              <w:rPr>
                <w:color w:val="auto"/>
                <w:highlight w:val="none"/>
              </w:rPr>
            </w:pPr>
            <w:r>
              <w:rPr>
                <w:rFonts w:hint="eastAsia"/>
                <w:color w:val="auto"/>
                <w:highlight w:val="none"/>
              </w:rPr>
              <w:t>姓名</w:t>
            </w:r>
          </w:p>
        </w:tc>
        <w:tc>
          <w:tcPr>
            <w:tcW w:w="1020" w:type="dxa"/>
            <w:noWrap w:val="0"/>
            <w:vAlign w:val="center"/>
          </w:tcPr>
          <w:p>
            <w:pPr>
              <w:spacing w:line="360" w:lineRule="auto"/>
              <w:rPr>
                <w:color w:val="auto"/>
                <w:highlight w:val="none"/>
              </w:rPr>
            </w:pPr>
            <w:r>
              <w:rPr>
                <w:rFonts w:hint="eastAsia"/>
                <w:color w:val="auto"/>
                <w:highlight w:val="none"/>
              </w:rPr>
              <w:t>公司职务</w:t>
            </w:r>
          </w:p>
        </w:tc>
        <w:tc>
          <w:tcPr>
            <w:tcW w:w="1568" w:type="dxa"/>
            <w:noWrap w:val="0"/>
            <w:vAlign w:val="center"/>
          </w:tcPr>
          <w:p>
            <w:pPr>
              <w:spacing w:line="360" w:lineRule="auto"/>
              <w:rPr>
                <w:color w:val="auto"/>
                <w:highlight w:val="none"/>
              </w:rPr>
            </w:pPr>
            <w:r>
              <w:rPr>
                <w:rFonts w:hint="eastAsia"/>
                <w:color w:val="auto"/>
                <w:highlight w:val="none"/>
              </w:rPr>
              <w:t>联系电话/手机</w:t>
            </w:r>
          </w:p>
        </w:tc>
        <w:tc>
          <w:tcPr>
            <w:tcW w:w="1004" w:type="dxa"/>
            <w:noWrap w:val="0"/>
            <w:vAlign w:val="top"/>
          </w:tcPr>
          <w:p>
            <w:pPr>
              <w:spacing w:line="360" w:lineRule="auto"/>
              <w:rPr>
                <w:color w:val="auto"/>
                <w:highlight w:val="none"/>
              </w:rPr>
            </w:pPr>
            <w:r>
              <w:rPr>
                <w:rFonts w:hint="eastAsia"/>
                <w:color w:val="auto"/>
                <w:highlight w:val="none"/>
              </w:rPr>
              <w:t>传真</w:t>
            </w:r>
          </w:p>
        </w:tc>
        <w:tc>
          <w:tcPr>
            <w:tcW w:w="1674" w:type="dxa"/>
            <w:noWrap w:val="0"/>
            <w:vAlign w:val="center"/>
          </w:tcPr>
          <w:p>
            <w:pPr>
              <w:spacing w:line="360" w:lineRule="auto"/>
              <w:rPr>
                <w:color w:val="auto"/>
                <w:highlight w:val="none"/>
              </w:rPr>
            </w:pPr>
            <w:r>
              <w:rPr>
                <w:rFonts w:hint="eastAsia"/>
                <w:color w:val="auto"/>
                <w:highlight w:val="none"/>
              </w:rPr>
              <w:t>电子邮箱地址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专项组长</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专项副组长(主管承保)</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专项副组长(主管理赔)</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日常联系专人</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防损服务专人</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核保服务专人</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核赔服务专人</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现场理赔服务专人1</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noWrap w:val="0"/>
            <w:vAlign w:val="center"/>
          </w:tcPr>
          <w:p>
            <w:pPr>
              <w:spacing w:line="360" w:lineRule="auto"/>
              <w:rPr>
                <w:color w:val="auto"/>
                <w:highlight w:val="none"/>
              </w:rPr>
            </w:pPr>
            <w:r>
              <w:rPr>
                <w:rFonts w:hint="eastAsia"/>
                <w:color w:val="auto"/>
                <w:highlight w:val="none"/>
              </w:rPr>
              <w:t>现场理赔服务专人2</w:t>
            </w:r>
          </w:p>
          <w:p>
            <w:pPr>
              <w:spacing w:line="360" w:lineRule="auto"/>
              <w:rPr>
                <w:color w:val="auto"/>
                <w:highlight w:val="none"/>
              </w:rPr>
            </w:pPr>
            <w:r>
              <w:rPr>
                <w:rFonts w:hint="eastAsia"/>
                <w:color w:val="auto"/>
                <w:highlight w:val="none"/>
              </w:rPr>
              <w:t>……</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2131" w:type="dxa"/>
            <w:noWrap w:val="0"/>
            <w:vAlign w:val="center"/>
          </w:tcPr>
          <w:p>
            <w:pPr>
              <w:spacing w:line="360" w:lineRule="auto"/>
              <w:rPr>
                <w:color w:val="auto"/>
                <w:highlight w:val="none"/>
              </w:rPr>
            </w:pPr>
            <w:r>
              <w:rPr>
                <w:rFonts w:hint="eastAsia"/>
                <w:color w:val="auto"/>
                <w:highlight w:val="none"/>
              </w:rPr>
              <w:t>数据统计专人</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131" w:type="dxa"/>
            <w:noWrap w:val="0"/>
            <w:vAlign w:val="center"/>
          </w:tcPr>
          <w:p>
            <w:pPr>
              <w:spacing w:line="360" w:lineRule="auto"/>
              <w:rPr>
                <w:color w:val="auto"/>
                <w:highlight w:val="none"/>
              </w:rPr>
            </w:pPr>
            <w:r>
              <w:rPr>
                <w:rFonts w:hint="eastAsia"/>
                <w:color w:val="auto"/>
                <w:highlight w:val="none"/>
              </w:rPr>
              <w:t>……</w:t>
            </w:r>
          </w:p>
        </w:tc>
        <w:tc>
          <w:tcPr>
            <w:tcW w:w="761" w:type="dxa"/>
            <w:noWrap w:val="0"/>
            <w:vAlign w:val="center"/>
          </w:tcPr>
          <w:p>
            <w:pPr>
              <w:spacing w:line="360" w:lineRule="auto"/>
              <w:rPr>
                <w:color w:val="auto"/>
                <w:highlight w:val="none"/>
              </w:rPr>
            </w:pPr>
          </w:p>
        </w:tc>
        <w:tc>
          <w:tcPr>
            <w:tcW w:w="1020" w:type="dxa"/>
            <w:noWrap w:val="0"/>
            <w:vAlign w:val="center"/>
          </w:tcPr>
          <w:p>
            <w:pPr>
              <w:spacing w:line="360" w:lineRule="auto"/>
              <w:rPr>
                <w:color w:val="auto"/>
                <w:highlight w:val="none"/>
              </w:rPr>
            </w:pPr>
          </w:p>
        </w:tc>
        <w:tc>
          <w:tcPr>
            <w:tcW w:w="1568" w:type="dxa"/>
            <w:noWrap w:val="0"/>
            <w:vAlign w:val="center"/>
          </w:tcPr>
          <w:p>
            <w:pPr>
              <w:spacing w:line="360" w:lineRule="auto"/>
              <w:rPr>
                <w:color w:val="auto"/>
                <w:highlight w:val="none"/>
              </w:rPr>
            </w:pPr>
          </w:p>
        </w:tc>
        <w:tc>
          <w:tcPr>
            <w:tcW w:w="1004" w:type="dxa"/>
            <w:noWrap w:val="0"/>
            <w:vAlign w:val="top"/>
          </w:tcPr>
          <w:p>
            <w:pPr>
              <w:spacing w:line="360" w:lineRule="auto"/>
              <w:rPr>
                <w:color w:val="auto"/>
                <w:highlight w:val="none"/>
              </w:rPr>
            </w:pPr>
          </w:p>
        </w:tc>
        <w:tc>
          <w:tcPr>
            <w:tcW w:w="1674" w:type="dxa"/>
            <w:noWrap w:val="0"/>
            <w:vAlign w:val="center"/>
          </w:tcPr>
          <w:p>
            <w:pPr>
              <w:spacing w:line="360" w:lineRule="auto"/>
              <w:rPr>
                <w:color w:val="auto"/>
                <w:highlight w:val="none"/>
              </w:rPr>
            </w:pPr>
          </w:p>
        </w:tc>
      </w:tr>
    </w:tbl>
    <w:p>
      <w:pPr>
        <w:adjustRightInd w:val="0"/>
        <w:snapToGrid w:val="0"/>
        <w:spacing w:before="156" w:beforeLines="50" w:line="360" w:lineRule="auto"/>
        <w:rPr>
          <w:rFonts w:ascii="宋体" w:hAnsi="宋体"/>
          <w:b/>
          <w:bCs/>
          <w:color w:val="auto"/>
          <w:highlight w:val="none"/>
        </w:rPr>
      </w:pPr>
    </w:p>
    <w:p>
      <w:pPr>
        <w:adjustRightInd w:val="0"/>
        <w:snapToGrid w:val="0"/>
        <w:spacing w:before="156" w:beforeLines="50" w:after="156" w:afterLines="50" w:line="400" w:lineRule="exact"/>
        <w:ind w:firstLine="420" w:firstLineChars="200"/>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default" w:ascii="宋体" w:hAnsi="宋体" w:eastAsia="宋体"/>
          <w:color w:val="auto"/>
          <w:szCs w:val="21"/>
          <w:highlight w:val="none"/>
          <w:u w:val="single"/>
          <w:lang w:val="en-US" w:eastAsia="zh-CN"/>
        </w:rPr>
      </w:pPr>
      <w:r>
        <w:rPr>
          <w:rFonts w:hint="eastAsia" w:ascii="宋体" w:hAnsi="宋体"/>
          <w:color w:val="auto"/>
          <w:szCs w:val="21"/>
          <w:highlight w:val="none"/>
          <w:lang w:eastAsia="zh-CN"/>
        </w:rPr>
        <w:t>供应商名称</w:t>
      </w:r>
      <w:r>
        <w:rPr>
          <w:rFonts w:hint="eastAsia" w:ascii="宋体" w:hAnsi="宋体"/>
          <w:color w:val="auto"/>
          <w:szCs w:val="21"/>
          <w:highlight w:val="none"/>
        </w:rPr>
        <w:t>（盖单位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color w:val="auto"/>
          <w:szCs w:val="21"/>
          <w:highlight w:val="none"/>
        </w:rPr>
      </w:pPr>
      <w:r>
        <w:rPr>
          <w:rFonts w:hint="eastAsia" w:cs="微软雅黑" w:asciiTheme="minorEastAsia" w:hAnsiTheme="minorEastAsia" w:eastAsiaTheme="minorEastAsia"/>
          <w:color w:val="auto"/>
          <w:spacing w:val="-2"/>
          <w:kern w:val="0"/>
          <w:szCs w:val="21"/>
          <w:highlight w:val="none"/>
        </w:rPr>
        <w:t>法</w:t>
      </w:r>
      <w:r>
        <w:rPr>
          <w:rFonts w:hint="eastAsia" w:cs="微软雅黑" w:asciiTheme="minorEastAsia" w:hAnsiTheme="minorEastAsia" w:eastAsiaTheme="minorEastAsia"/>
          <w:color w:val="auto"/>
          <w:kern w:val="0"/>
          <w:szCs w:val="21"/>
          <w:highlight w:val="none"/>
        </w:rPr>
        <w:t>定</w:t>
      </w:r>
      <w:r>
        <w:rPr>
          <w:rFonts w:hint="eastAsia" w:cs="微软雅黑" w:asciiTheme="minorEastAsia" w:hAnsiTheme="minorEastAsia" w:eastAsiaTheme="minorEastAsia"/>
          <w:color w:val="auto"/>
          <w:spacing w:val="-2"/>
          <w:kern w:val="0"/>
          <w:szCs w:val="21"/>
          <w:highlight w:val="none"/>
        </w:rPr>
        <w:t>代</w:t>
      </w:r>
      <w:r>
        <w:rPr>
          <w:rFonts w:hint="eastAsia" w:cs="微软雅黑" w:asciiTheme="minorEastAsia" w:hAnsiTheme="minorEastAsia" w:eastAsiaTheme="minorEastAsia"/>
          <w:color w:val="auto"/>
          <w:kern w:val="0"/>
          <w:szCs w:val="21"/>
          <w:highlight w:val="none"/>
        </w:rPr>
        <w:t>表</w:t>
      </w:r>
      <w:r>
        <w:rPr>
          <w:rFonts w:hint="eastAsia" w:cs="微软雅黑" w:asciiTheme="minorEastAsia" w:hAnsiTheme="minorEastAsia" w:eastAsiaTheme="minorEastAsia"/>
          <w:color w:val="auto"/>
          <w:spacing w:val="-2"/>
          <w:kern w:val="0"/>
          <w:szCs w:val="21"/>
          <w:highlight w:val="none"/>
        </w:rPr>
        <w:t>人</w:t>
      </w:r>
      <w:r>
        <w:rPr>
          <w:rFonts w:hint="eastAsia" w:cs="微软雅黑" w:asciiTheme="minorEastAsia" w:hAnsiTheme="minorEastAsia" w:eastAsiaTheme="minorEastAsia"/>
          <w:color w:val="auto"/>
          <w:kern w:val="0"/>
          <w:szCs w:val="21"/>
          <w:highlight w:val="none"/>
        </w:rPr>
        <w:t>（</w:t>
      </w:r>
      <w:r>
        <w:rPr>
          <w:rFonts w:hint="eastAsia" w:cs="微软雅黑" w:asciiTheme="minorEastAsia" w:hAnsiTheme="minorEastAsia" w:eastAsiaTheme="minorEastAsia"/>
          <w:color w:val="auto"/>
          <w:spacing w:val="-2"/>
          <w:kern w:val="0"/>
          <w:szCs w:val="21"/>
          <w:highlight w:val="none"/>
        </w:rPr>
        <w:t>单</w:t>
      </w:r>
      <w:r>
        <w:rPr>
          <w:rFonts w:hint="eastAsia" w:cs="微软雅黑" w:asciiTheme="minorEastAsia" w:hAnsiTheme="minorEastAsia" w:eastAsiaTheme="minorEastAsia"/>
          <w:color w:val="auto"/>
          <w:kern w:val="0"/>
          <w:szCs w:val="21"/>
          <w:highlight w:val="none"/>
        </w:rPr>
        <w:t>位</w:t>
      </w:r>
      <w:r>
        <w:rPr>
          <w:rFonts w:hint="eastAsia" w:cs="微软雅黑" w:asciiTheme="minorEastAsia" w:hAnsiTheme="minorEastAsia" w:eastAsiaTheme="minorEastAsia"/>
          <w:color w:val="auto"/>
          <w:spacing w:val="-2"/>
          <w:kern w:val="0"/>
          <w:szCs w:val="21"/>
          <w:highlight w:val="none"/>
        </w:rPr>
        <w:t>负</w:t>
      </w:r>
      <w:r>
        <w:rPr>
          <w:rFonts w:hint="eastAsia" w:cs="微软雅黑" w:asciiTheme="minorEastAsia" w:hAnsiTheme="minorEastAsia" w:eastAsiaTheme="minorEastAsia"/>
          <w:color w:val="auto"/>
          <w:kern w:val="0"/>
          <w:szCs w:val="21"/>
          <w:highlight w:val="none"/>
        </w:rPr>
        <w:t>责人</w:t>
      </w:r>
      <w:r>
        <w:rPr>
          <w:rFonts w:hint="eastAsia" w:cs="微软雅黑" w:asciiTheme="minorEastAsia" w:hAnsiTheme="minorEastAsia" w:eastAsiaTheme="minorEastAsia"/>
          <w:color w:val="auto"/>
          <w:spacing w:val="-2"/>
          <w:kern w:val="0"/>
          <w:szCs w:val="21"/>
          <w:highlight w:val="none"/>
        </w:rPr>
        <w:t>）</w:t>
      </w:r>
      <w:r>
        <w:rPr>
          <w:rFonts w:hint="eastAsia" w:ascii="宋体" w:hAnsi="宋体"/>
          <w:color w:val="auto"/>
          <w:szCs w:val="21"/>
          <w:highlight w:val="none"/>
        </w:rPr>
        <w:t>或其</w:t>
      </w:r>
      <w:r>
        <w:rPr>
          <w:rFonts w:hint="eastAsia" w:ascii="宋体" w:hAnsi="宋体"/>
          <w:color w:val="auto"/>
          <w:szCs w:val="21"/>
          <w:highlight w:val="none"/>
          <w:lang w:eastAsia="zh-CN"/>
        </w:rPr>
        <w:t>授权的代理人</w:t>
      </w:r>
      <w:r>
        <w:rPr>
          <w:rFonts w:hint="eastAsia" w:ascii="宋体" w:hAnsi="宋体"/>
          <w:color w:val="auto"/>
          <w:szCs w:val="21"/>
          <w:highlight w:val="none"/>
        </w:rPr>
        <w:t>（签字或印章）：</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pStyle w:val="47"/>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pStyle w:val="6"/>
        <w:jc w:val="center"/>
        <w:rPr>
          <w:rFonts w:hint="eastAsia" w:ascii="黑体" w:eastAsia="黑体"/>
          <w:b/>
          <w:color w:val="auto"/>
          <w:sz w:val="32"/>
          <w:szCs w:val="32"/>
          <w:highlight w:val="none"/>
        </w:rPr>
      </w:pPr>
      <w:r>
        <w:rPr>
          <w:rFonts w:hint="eastAsia" w:ascii="黑体" w:eastAsia="黑体"/>
          <w:b/>
          <w:color w:val="auto"/>
          <w:sz w:val="32"/>
          <w:szCs w:val="32"/>
          <w:highlight w:val="none"/>
          <w:lang w:eastAsia="zh-CN"/>
        </w:rPr>
        <w:t>四</w:t>
      </w:r>
      <w:r>
        <w:rPr>
          <w:rFonts w:hint="eastAsia" w:ascii="黑体" w:eastAsia="黑体"/>
          <w:b/>
          <w:color w:val="auto"/>
          <w:sz w:val="32"/>
          <w:szCs w:val="32"/>
          <w:highlight w:val="none"/>
        </w:rPr>
        <w:t>、</w:t>
      </w:r>
      <w:r>
        <w:rPr>
          <w:rFonts w:hint="eastAsia" w:ascii="黑体" w:hAnsi="Arial" w:eastAsia="黑体"/>
          <w:b/>
          <w:color w:val="auto"/>
          <w:sz w:val="32"/>
          <w:highlight w:val="none"/>
        </w:rPr>
        <w:t>技术/商务响应与偏离表</w:t>
      </w:r>
    </w:p>
    <w:p>
      <w:pPr>
        <w:pStyle w:val="6"/>
        <w:jc w:val="center"/>
        <w:rPr>
          <w:rFonts w:ascii="黑体" w:eastAsia="黑体"/>
          <w:color w:val="auto"/>
          <w:sz w:val="28"/>
          <w:szCs w:val="28"/>
          <w:highlight w:val="none"/>
        </w:rPr>
      </w:pPr>
      <w:r>
        <w:rPr>
          <w:rFonts w:hint="eastAsia" w:ascii="黑体" w:eastAsia="黑体"/>
          <w:color w:val="auto"/>
          <w:sz w:val="28"/>
          <w:szCs w:val="28"/>
          <w:highlight w:val="none"/>
        </w:rPr>
        <w:t>采购需求偏离表</w:t>
      </w:r>
    </w:p>
    <w:p>
      <w:pPr>
        <w:adjustRightInd w:val="0"/>
        <w:snapToGrid w:val="0"/>
        <w:spacing w:before="156" w:beforeLines="50" w:line="360" w:lineRule="auto"/>
        <w:rPr>
          <w:rFonts w:ascii="宋体" w:hAnsi="宋体"/>
          <w:color w:val="auto"/>
          <w:szCs w:val="21"/>
          <w:highlight w:val="none"/>
          <w:u w:val="single"/>
        </w:rPr>
      </w:pPr>
      <w:r>
        <w:rPr>
          <w:rFonts w:hint="eastAsia" w:ascii="宋体" w:hAnsi="宋体"/>
          <w:color w:val="auto"/>
          <w:szCs w:val="21"/>
          <w:highlight w:val="none"/>
        </w:rPr>
        <w:t xml:space="preserve">          项目名称：</w:t>
      </w:r>
      <w:r>
        <w:rPr>
          <w:rFonts w:hint="eastAsia" w:ascii="宋体" w:hAnsi="宋体"/>
          <w:color w:val="auto"/>
          <w:szCs w:val="21"/>
          <w:highlight w:val="none"/>
          <w:u w:val="single"/>
        </w:rPr>
        <w:t xml:space="preserve">               </w:t>
      </w:r>
    </w:p>
    <w:tbl>
      <w:tblPr>
        <w:tblStyle w:val="2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410"/>
        <w:gridCol w:w="1985"/>
        <w:gridCol w:w="2126"/>
        <w:gridCol w:w="17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bCs/>
                <w:color w:val="auto"/>
                <w:szCs w:val="21"/>
                <w:highlight w:val="none"/>
              </w:rPr>
              <w:t>序</w:t>
            </w:r>
            <w:r>
              <w:rPr>
                <w:rFonts w:hint="eastAsia" w:ascii="宋体" w:hAnsi="宋体"/>
                <w:color w:val="auto"/>
                <w:szCs w:val="21"/>
                <w:highlight w:val="none"/>
              </w:rPr>
              <w:t>号</w:t>
            </w: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lang w:eastAsia="zh-CN"/>
              </w:rPr>
              <w:t>询价通知书</w:t>
            </w:r>
            <w:r>
              <w:rPr>
                <w:rFonts w:hint="eastAsia" w:ascii="宋体" w:hAnsi="宋体"/>
                <w:color w:val="auto"/>
                <w:szCs w:val="21"/>
                <w:highlight w:val="none"/>
              </w:rPr>
              <w:t>章节</w:t>
            </w:r>
            <w:r>
              <w:rPr>
                <w:rFonts w:hint="eastAsia" w:ascii="宋体" w:hAnsi="宋体"/>
                <w:bCs/>
                <w:color w:val="auto"/>
                <w:szCs w:val="21"/>
                <w:highlight w:val="none"/>
              </w:rPr>
              <w:t>条</w:t>
            </w:r>
            <w:r>
              <w:rPr>
                <w:rFonts w:hint="eastAsia" w:ascii="宋体" w:hAnsi="宋体"/>
                <w:color w:val="auto"/>
                <w:szCs w:val="21"/>
                <w:highlight w:val="none"/>
              </w:rPr>
              <w:t>款号</w:t>
            </w:r>
          </w:p>
        </w:tc>
        <w:tc>
          <w:tcPr>
            <w:tcW w:w="1985" w:type="dxa"/>
            <w:tcBorders>
              <w:right w:val="single" w:color="auto" w:sz="4" w:space="0"/>
            </w:tcBorders>
          </w:tcPr>
          <w:p>
            <w:pPr>
              <w:adjustRightInd w:val="0"/>
              <w:snapToGrid w:val="0"/>
              <w:spacing w:before="50" w:line="360" w:lineRule="auto"/>
              <w:jc w:val="center"/>
              <w:rPr>
                <w:color w:val="auto"/>
                <w:highlight w:val="none"/>
              </w:rPr>
            </w:pPr>
            <w:r>
              <w:rPr>
                <w:rFonts w:hint="eastAsia" w:ascii="宋体" w:hAnsi="宋体"/>
                <w:color w:val="auto"/>
                <w:szCs w:val="21"/>
                <w:highlight w:val="none"/>
                <w:lang w:eastAsia="zh-CN"/>
              </w:rPr>
              <w:t>询价通知书</w:t>
            </w:r>
            <w:r>
              <w:rPr>
                <w:rFonts w:hint="eastAsia"/>
                <w:color w:val="auto"/>
                <w:highlight w:val="none"/>
              </w:rPr>
              <w:t>要求</w:t>
            </w:r>
          </w:p>
        </w:tc>
        <w:tc>
          <w:tcPr>
            <w:tcW w:w="2126" w:type="dxa"/>
            <w:tcBorders>
              <w:left w:val="single" w:color="auto" w:sz="4" w:space="0"/>
            </w:tcBorders>
          </w:tcPr>
          <w:p>
            <w:pPr>
              <w:adjustRightInd w:val="0"/>
              <w:snapToGrid w:val="0"/>
              <w:spacing w:before="50" w:line="360" w:lineRule="auto"/>
              <w:jc w:val="center"/>
              <w:rPr>
                <w:color w:val="auto"/>
                <w:highlight w:val="none"/>
              </w:rPr>
            </w:pPr>
            <w:r>
              <w:rPr>
                <w:rFonts w:hint="eastAsia" w:ascii="宋体" w:hAnsi="宋体"/>
                <w:color w:val="auto"/>
                <w:szCs w:val="21"/>
                <w:highlight w:val="none"/>
              </w:rPr>
              <w:t>响应</w:t>
            </w:r>
            <w:r>
              <w:rPr>
                <w:rFonts w:hint="eastAsia"/>
                <w:color w:val="auto"/>
                <w:highlight w:val="none"/>
              </w:rPr>
              <w:t>文件应答</w:t>
            </w:r>
          </w:p>
        </w:tc>
        <w:tc>
          <w:tcPr>
            <w:tcW w:w="1756" w:type="dxa"/>
            <w:vAlign w:val="center"/>
          </w:tcPr>
          <w:p>
            <w:pPr>
              <w:adjustRightInd w:val="0"/>
              <w:snapToGrid w:val="0"/>
              <w:spacing w:before="50" w:line="360" w:lineRule="auto"/>
              <w:ind w:left="-88" w:leftChars="-42"/>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偏离</w:t>
            </w:r>
            <w:r>
              <w:rPr>
                <w:rFonts w:hint="eastAsia" w:ascii="宋体" w:hAnsi="宋体"/>
                <w:color w:val="auto"/>
                <w:szCs w:val="21"/>
                <w:highlight w:val="none"/>
                <w:lang w:val="en-US" w:eastAsia="zh-CN"/>
              </w:rPr>
              <w:t xml:space="preserve">说明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126"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756" w:type="dxa"/>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779" w:hRule="atLeast"/>
          <w:jc w:val="center"/>
        </w:trPr>
        <w:tc>
          <w:tcPr>
            <w:tcW w:w="9014" w:type="dxa"/>
            <w:gridSpan w:val="5"/>
            <w:vAlign w:val="center"/>
          </w:tcPr>
          <w:p>
            <w:pPr>
              <w:adjustRightInd w:val="0"/>
              <w:snapToGrid w:val="0"/>
              <w:spacing w:before="50" w:line="360" w:lineRule="auto"/>
              <w:ind w:firstLine="422" w:firstLineChars="200"/>
              <w:rPr>
                <w:rFonts w:ascii="宋体" w:hAnsi="宋体"/>
                <w:color w:val="auto"/>
                <w:szCs w:val="21"/>
                <w:highlight w:val="none"/>
              </w:rPr>
            </w:pPr>
            <w:r>
              <w:rPr>
                <w:rFonts w:hint="eastAsia" w:ascii="宋体" w:hAnsi="宋体"/>
                <w:b/>
                <w:color w:val="auto"/>
                <w:szCs w:val="21"/>
                <w:highlight w:val="none"/>
              </w:rPr>
              <w:t>供应商保证：除本采购需求偏离表列出的偏离外，我单位对</w:t>
            </w:r>
            <w:r>
              <w:rPr>
                <w:rFonts w:hint="eastAsia" w:ascii="宋体" w:hAnsi="宋体"/>
                <w:b/>
                <w:color w:val="auto"/>
                <w:szCs w:val="21"/>
                <w:highlight w:val="none"/>
                <w:lang w:eastAsia="zh-CN"/>
              </w:rPr>
              <w:t>询价通知书</w:t>
            </w:r>
            <w:r>
              <w:rPr>
                <w:rFonts w:hint="eastAsia" w:ascii="宋体" w:hAnsi="宋体"/>
                <w:b/>
                <w:color w:val="auto"/>
                <w:szCs w:val="21"/>
                <w:highlight w:val="none"/>
              </w:rPr>
              <w:t>的其他采购需求条款完全响应，无偏离。</w:t>
            </w:r>
          </w:p>
        </w:tc>
      </w:tr>
    </w:tbl>
    <w:p>
      <w:pPr>
        <w:adjustRightInd w:val="0"/>
        <w:snapToGrid w:val="0"/>
        <w:spacing w:before="50" w:line="360" w:lineRule="auto"/>
        <w:ind w:left="-88" w:leftChars="-42"/>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：（1）供应商应根据</w:t>
      </w:r>
      <w:r>
        <w:rPr>
          <w:rFonts w:hint="eastAsia" w:ascii="宋体" w:hAnsi="宋体"/>
          <w:color w:val="auto"/>
          <w:szCs w:val="21"/>
          <w:highlight w:val="none"/>
          <w:lang w:eastAsia="zh-CN"/>
        </w:rPr>
        <w:t>询价通知书</w:t>
      </w:r>
      <w:r>
        <w:rPr>
          <w:rFonts w:hint="eastAsia" w:ascii="宋体" w:hAnsi="宋体"/>
          <w:b w:val="0"/>
          <w:bCs/>
          <w:color w:val="auto"/>
          <w:szCs w:val="21"/>
          <w:highlight w:val="none"/>
        </w:rPr>
        <w:t>第</w:t>
      </w:r>
      <w:r>
        <w:rPr>
          <w:rFonts w:hint="eastAsia" w:ascii="宋体" w:hAnsi="宋体"/>
          <w:b w:val="0"/>
          <w:bCs/>
          <w:color w:val="auto"/>
          <w:szCs w:val="21"/>
          <w:highlight w:val="none"/>
          <w:lang w:eastAsia="zh-CN"/>
        </w:rPr>
        <w:t>四</w:t>
      </w:r>
      <w:r>
        <w:rPr>
          <w:rFonts w:hint="eastAsia" w:ascii="宋体" w:hAnsi="宋体"/>
          <w:b w:val="0"/>
          <w:bCs/>
          <w:color w:val="auto"/>
          <w:szCs w:val="21"/>
          <w:highlight w:val="none"/>
        </w:rPr>
        <w:t>章</w:t>
      </w:r>
      <w:r>
        <w:rPr>
          <w:rFonts w:hint="eastAsia" w:ascii="宋体" w:hAnsi="宋体"/>
          <w:color w:val="auto"/>
          <w:szCs w:val="21"/>
          <w:highlight w:val="none"/>
        </w:rPr>
        <w:t>“采购需求”填写本表；</w:t>
      </w:r>
    </w:p>
    <w:p>
      <w:pPr>
        <w:adjustRightInd w:val="0"/>
        <w:snapToGrid w:val="0"/>
        <w:spacing w:before="50" w:line="360" w:lineRule="auto"/>
        <w:ind w:left="-88" w:leftChars="-42" w:firstLine="420" w:firstLineChars="200"/>
        <w:rPr>
          <w:rFonts w:ascii="宋体" w:hAnsi="宋体"/>
          <w:b/>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供应商如果对</w:t>
      </w:r>
      <w:r>
        <w:rPr>
          <w:rFonts w:hint="eastAsia" w:ascii="宋体" w:hAnsi="宋体"/>
          <w:b/>
          <w:color w:val="auto"/>
          <w:szCs w:val="21"/>
          <w:highlight w:val="none"/>
          <w:lang w:eastAsia="zh-CN"/>
        </w:rPr>
        <w:t>询价通知书</w:t>
      </w:r>
      <w:r>
        <w:rPr>
          <w:rFonts w:hint="eastAsia" w:ascii="宋体" w:hAnsi="宋体"/>
          <w:b w:val="0"/>
          <w:bCs/>
          <w:color w:val="auto"/>
          <w:szCs w:val="21"/>
          <w:highlight w:val="none"/>
        </w:rPr>
        <w:t>第</w:t>
      </w:r>
      <w:r>
        <w:rPr>
          <w:rFonts w:hint="eastAsia" w:ascii="宋体" w:hAnsi="宋体"/>
          <w:b w:val="0"/>
          <w:bCs/>
          <w:color w:val="auto"/>
          <w:szCs w:val="21"/>
          <w:highlight w:val="none"/>
          <w:lang w:eastAsia="zh-CN"/>
        </w:rPr>
        <w:t>四</w:t>
      </w:r>
      <w:r>
        <w:rPr>
          <w:rFonts w:hint="eastAsia" w:ascii="宋体" w:hAnsi="宋体"/>
          <w:b w:val="0"/>
          <w:bCs/>
          <w:color w:val="auto"/>
          <w:szCs w:val="21"/>
          <w:highlight w:val="none"/>
        </w:rPr>
        <w:t>章</w:t>
      </w:r>
      <w:r>
        <w:rPr>
          <w:rFonts w:hint="eastAsia" w:ascii="宋体" w:hAnsi="宋体"/>
          <w:b/>
          <w:color w:val="auto"/>
          <w:szCs w:val="21"/>
          <w:highlight w:val="none"/>
        </w:rPr>
        <w:t>“采购需求”的响应有偏离，应将偏离条款逐条如实应答，并作出说明；</w:t>
      </w:r>
    </w:p>
    <w:p>
      <w:pPr>
        <w:adjustRightInd w:val="0"/>
        <w:snapToGrid w:val="0"/>
        <w:spacing w:before="50" w:line="360" w:lineRule="auto"/>
        <w:ind w:left="-88" w:leftChars="-42" w:firstLine="420" w:firstLineChars="200"/>
        <w:rPr>
          <w:rFonts w:ascii="宋体" w:hAnsi="宋体"/>
          <w:color w:val="auto"/>
          <w:szCs w:val="21"/>
          <w:highlight w:val="none"/>
        </w:rPr>
      </w:pPr>
      <w:r>
        <w:rPr>
          <w:rFonts w:hint="eastAsia" w:ascii="宋体" w:hAnsi="宋体"/>
          <w:color w:val="auto"/>
          <w:szCs w:val="21"/>
          <w:highlight w:val="none"/>
        </w:rPr>
        <w:t>（3）如不提供此表，则视为供应商不满足</w:t>
      </w:r>
      <w:r>
        <w:rPr>
          <w:rFonts w:hint="eastAsia" w:ascii="宋体" w:hAnsi="宋体"/>
          <w:color w:val="auto"/>
          <w:szCs w:val="21"/>
          <w:highlight w:val="none"/>
          <w:lang w:eastAsia="zh-CN"/>
        </w:rPr>
        <w:t>询价通知书</w:t>
      </w:r>
      <w:r>
        <w:rPr>
          <w:rFonts w:hint="eastAsia" w:ascii="宋体" w:hAnsi="宋体"/>
          <w:b w:val="0"/>
          <w:bCs/>
          <w:color w:val="auto"/>
          <w:szCs w:val="21"/>
          <w:highlight w:val="none"/>
        </w:rPr>
        <w:t>第</w:t>
      </w:r>
      <w:r>
        <w:rPr>
          <w:rFonts w:hint="eastAsia" w:ascii="宋体" w:hAnsi="宋体"/>
          <w:b w:val="0"/>
          <w:bCs/>
          <w:color w:val="auto"/>
          <w:szCs w:val="21"/>
          <w:highlight w:val="none"/>
          <w:lang w:eastAsia="zh-CN"/>
        </w:rPr>
        <w:t>四</w:t>
      </w:r>
      <w:r>
        <w:rPr>
          <w:rFonts w:hint="eastAsia" w:ascii="宋体" w:hAnsi="宋体"/>
          <w:b w:val="0"/>
          <w:bCs/>
          <w:color w:val="auto"/>
          <w:szCs w:val="21"/>
          <w:highlight w:val="none"/>
        </w:rPr>
        <w:t>章</w:t>
      </w:r>
      <w:r>
        <w:rPr>
          <w:rFonts w:hint="eastAsia" w:ascii="宋体" w:hAnsi="宋体"/>
          <w:color w:val="auto"/>
          <w:szCs w:val="21"/>
          <w:highlight w:val="none"/>
        </w:rPr>
        <w:t>的所有条款要求，其</w:t>
      </w:r>
      <w:r>
        <w:rPr>
          <w:rFonts w:hint="eastAsia" w:ascii="宋体" w:hAnsi="宋体"/>
          <w:b/>
          <w:color w:val="auto"/>
          <w:szCs w:val="21"/>
          <w:highlight w:val="none"/>
        </w:rPr>
        <w:t>响应无效</w:t>
      </w:r>
      <w:r>
        <w:rPr>
          <w:rFonts w:hint="eastAsia" w:ascii="宋体" w:hAnsi="宋体"/>
          <w:color w:val="auto"/>
          <w:szCs w:val="21"/>
          <w:highlight w:val="none"/>
        </w:rPr>
        <w:t>。</w:t>
      </w:r>
    </w:p>
    <w:p>
      <w:pPr>
        <w:adjustRightInd w:val="0"/>
        <w:snapToGrid w:val="0"/>
        <w:spacing w:line="360" w:lineRule="auto"/>
        <w:ind w:left="-88" w:leftChars="-42"/>
        <w:rPr>
          <w:rFonts w:hint="eastAsia" w:ascii="仿宋_GB2312" w:hAnsi="宋体" w:eastAsia="仿宋_GB2312"/>
          <w:color w:val="auto"/>
          <w:szCs w:val="21"/>
          <w:highlight w:val="none"/>
        </w:rPr>
      </w:pPr>
    </w:p>
    <w:p>
      <w:pPr>
        <w:pStyle w:val="17"/>
        <w:adjustRightInd w:val="0"/>
        <w:snapToGrid w:val="0"/>
        <w:spacing w:line="360" w:lineRule="auto"/>
        <w:outlineLvl w:val="0"/>
        <w:rPr>
          <w:rFonts w:hint="eastAsia" w:ascii="宋体" w:hAnsi="宋体"/>
          <w:color w:val="auto"/>
          <w:sz w:val="21"/>
          <w:szCs w:val="21"/>
          <w:highlight w:val="none"/>
        </w:rPr>
      </w:pPr>
    </w:p>
    <w:p>
      <w:pPr>
        <w:pStyle w:val="17"/>
        <w:adjustRightInd w:val="0"/>
        <w:snapToGrid w:val="0"/>
        <w:spacing w:line="360" w:lineRule="auto"/>
        <w:outlineLvl w:val="0"/>
        <w:rPr>
          <w:rFonts w:hint="eastAsia" w:ascii="宋体" w:hAnsi="宋体"/>
          <w:bCs/>
          <w:color w:val="auto"/>
          <w:sz w:val="21"/>
          <w:szCs w:val="21"/>
          <w:highlight w:val="none"/>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rPr>
        <w:t xml:space="preserve">                   </w:t>
      </w:r>
    </w:p>
    <w:p>
      <w:pPr>
        <w:adjustRightInd w:val="0"/>
        <w:snapToGrid w:val="0"/>
        <w:spacing w:line="360" w:lineRule="auto"/>
        <w:outlineLvl w:val="0"/>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pPr>
        <w:adjustRightInd w:val="0"/>
        <w:snapToGrid w:val="0"/>
        <w:spacing w:line="360" w:lineRule="auto"/>
        <w:outlineLvl w:val="0"/>
        <w:rPr>
          <w:rFonts w:hint="eastAsia"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adjustRightInd w:val="0"/>
        <w:snapToGrid w:val="0"/>
        <w:spacing w:line="360" w:lineRule="auto"/>
        <w:rPr>
          <w:rFonts w:hint="eastAsia" w:ascii="宋体" w:hAnsi="宋体"/>
          <w:color w:val="auto"/>
          <w:szCs w:val="21"/>
          <w:highlight w:val="none"/>
        </w:rPr>
      </w:pPr>
    </w:p>
    <w:p>
      <w:pPr>
        <w:tabs>
          <w:tab w:val="left" w:pos="3600"/>
        </w:tabs>
        <w:adjustRightInd w:val="0"/>
        <w:snapToGrid w:val="0"/>
        <w:jc w:val="center"/>
        <w:rPr>
          <w:rFonts w:hint="eastAsia"/>
          <w:color w:val="auto"/>
          <w:highlight w:val="none"/>
        </w:rPr>
      </w:pPr>
    </w:p>
    <w:p>
      <w:pPr>
        <w:adjustRightInd w:val="0"/>
        <w:snapToGrid w:val="0"/>
        <w:spacing w:line="360" w:lineRule="auto"/>
        <w:jc w:val="center"/>
        <w:outlineLvl w:val="0"/>
        <w:rPr>
          <w:rFonts w:hint="eastAsia" w:ascii="黑体" w:eastAsia="黑体"/>
          <w:b/>
          <w:color w:val="auto"/>
          <w:sz w:val="32"/>
          <w:szCs w:val="32"/>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both"/>
        <w:rPr>
          <w:rFonts w:hint="eastAsia"/>
          <w:color w:val="auto"/>
          <w:highlight w:val="none"/>
        </w:rPr>
      </w:pPr>
    </w:p>
    <w:p>
      <w:pPr>
        <w:pStyle w:val="47"/>
        <w:jc w:val="center"/>
        <w:rPr>
          <w:rFonts w:hint="eastAsia"/>
          <w:color w:val="auto"/>
          <w:highlight w:val="none"/>
        </w:rPr>
      </w:pPr>
    </w:p>
    <w:p>
      <w:pPr>
        <w:pStyle w:val="6"/>
        <w:jc w:val="center"/>
        <w:rPr>
          <w:rFonts w:ascii="黑体" w:hAnsi="黑体" w:eastAsia="黑体"/>
          <w:color w:val="auto"/>
          <w:sz w:val="28"/>
          <w:szCs w:val="28"/>
          <w:highlight w:val="none"/>
        </w:rPr>
      </w:pPr>
      <w:r>
        <w:rPr>
          <w:rFonts w:hint="eastAsia" w:ascii="黑体" w:hAnsi="黑体" w:eastAsia="黑体"/>
          <w:color w:val="auto"/>
          <w:sz w:val="28"/>
          <w:szCs w:val="28"/>
          <w:highlight w:val="none"/>
        </w:rPr>
        <w:t>商务、合同条款偏离表</w:t>
      </w:r>
    </w:p>
    <w:p>
      <w:pPr>
        <w:adjustRightInd w:val="0"/>
        <w:snapToGrid w:val="0"/>
        <w:spacing w:before="156" w:beforeLines="50" w:line="360" w:lineRule="auto"/>
        <w:rPr>
          <w:rFonts w:ascii="宋体" w:hAnsi="宋体"/>
          <w:color w:val="auto"/>
          <w:szCs w:val="21"/>
          <w:highlight w:val="none"/>
          <w:u w:val="single"/>
        </w:rPr>
      </w:pPr>
      <w:r>
        <w:rPr>
          <w:rFonts w:hint="eastAsia" w:ascii="宋体" w:hAnsi="宋体"/>
          <w:color w:val="auto"/>
          <w:szCs w:val="21"/>
          <w:highlight w:val="none"/>
        </w:rPr>
        <w:t xml:space="preserve">          项目名称：</w:t>
      </w:r>
      <w:r>
        <w:rPr>
          <w:rFonts w:hint="eastAsia" w:ascii="宋体" w:hAnsi="宋体"/>
          <w:color w:val="auto"/>
          <w:szCs w:val="21"/>
          <w:highlight w:val="none"/>
          <w:u w:val="single"/>
        </w:rPr>
        <w:t xml:space="preserve">              </w:t>
      </w:r>
    </w:p>
    <w:tbl>
      <w:tblPr>
        <w:tblStyle w:val="2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95"/>
        <w:gridCol w:w="2410"/>
        <w:gridCol w:w="1985"/>
        <w:gridCol w:w="2082"/>
        <w:gridCol w:w="19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595"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bCs/>
                <w:color w:val="auto"/>
                <w:szCs w:val="21"/>
                <w:highlight w:val="none"/>
              </w:rPr>
              <w:t>序</w:t>
            </w:r>
            <w:r>
              <w:rPr>
                <w:rFonts w:hint="eastAsia" w:ascii="宋体" w:hAnsi="宋体"/>
                <w:color w:val="auto"/>
                <w:szCs w:val="21"/>
                <w:highlight w:val="none"/>
              </w:rPr>
              <w:t>号</w:t>
            </w: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lang w:val="en-US" w:eastAsia="zh-CN"/>
              </w:rPr>
              <w:t>询价通知书</w:t>
            </w:r>
            <w:r>
              <w:rPr>
                <w:rFonts w:hint="eastAsia" w:ascii="宋体" w:hAnsi="宋体"/>
                <w:color w:val="auto"/>
                <w:szCs w:val="21"/>
                <w:highlight w:val="none"/>
              </w:rPr>
              <w:t>章节</w:t>
            </w:r>
            <w:r>
              <w:rPr>
                <w:rFonts w:hint="eastAsia" w:ascii="宋体" w:hAnsi="宋体"/>
                <w:bCs/>
                <w:color w:val="auto"/>
                <w:szCs w:val="21"/>
                <w:highlight w:val="none"/>
              </w:rPr>
              <w:t>条</w:t>
            </w:r>
            <w:r>
              <w:rPr>
                <w:rFonts w:hint="eastAsia" w:ascii="宋体" w:hAnsi="宋体"/>
                <w:color w:val="auto"/>
                <w:szCs w:val="21"/>
                <w:highlight w:val="none"/>
              </w:rPr>
              <w:t>款号</w:t>
            </w:r>
          </w:p>
        </w:tc>
        <w:tc>
          <w:tcPr>
            <w:tcW w:w="1985"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lang w:val="en-US" w:eastAsia="zh-CN"/>
              </w:rPr>
              <w:t>询价通知书</w:t>
            </w:r>
            <w:r>
              <w:rPr>
                <w:rFonts w:hint="eastAsia"/>
                <w:color w:val="auto"/>
                <w:highlight w:val="none"/>
              </w:rPr>
              <w:t>要求</w:t>
            </w:r>
          </w:p>
        </w:tc>
        <w:tc>
          <w:tcPr>
            <w:tcW w:w="2082" w:type="dxa"/>
            <w:tcBorders>
              <w:right w:val="single" w:color="auto" w:sz="4" w:space="0"/>
            </w:tcBorders>
            <w:vAlign w:val="center"/>
          </w:tcPr>
          <w:p>
            <w:pPr>
              <w:adjustRightInd w:val="0"/>
              <w:snapToGrid w:val="0"/>
              <w:spacing w:before="50" w:line="360" w:lineRule="auto"/>
              <w:jc w:val="center"/>
              <w:rPr>
                <w:rFonts w:ascii="宋体" w:hAnsi="宋体"/>
                <w:color w:val="auto"/>
                <w:szCs w:val="21"/>
                <w:highlight w:val="none"/>
              </w:rPr>
            </w:pPr>
            <w:r>
              <w:rPr>
                <w:rFonts w:hint="eastAsia"/>
                <w:color w:val="auto"/>
                <w:highlight w:val="none"/>
              </w:rPr>
              <w:t>响应文件的应答</w:t>
            </w:r>
          </w:p>
        </w:tc>
        <w:tc>
          <w:tcPr>
            <w:tcW w:w="1942" w:type="dxa"/>
            <w:tcBorders>
              <w:left w:val="single" w:color="auto" w:sz="4" w:space="0"/>
            </w:tcBorders>
            <w:vAlign w:val="center"/>
          </w:tcPr>
          <w:p>
            <w:pPr>
              <w:adjustRightInd w:val="0"/>
              <w:snapToGrid w:val="0"/>
              <w:spacing w:before="50" w:line="360" w:lineRule="auto"/>
              <w:ind w:left="-88" w:leftChars="-4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偏离</w:t>
            </w:r>
            <w:r>
              <w:rPr>
                <w:rFonts w:hint="eastAsia" w:ascii="宋体" w:hAnsi="宋体"/>
                <w:color w:val="auto"/>
                <w:szCs w:val="21"/>
                <w:highlight w:val="none"/>
                <w:lang w:val="en-US" w:eastAsia="zh-CN"/>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1</w:t>
            </w: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vAlign w:val="top"/>
          </w:tcPr>
          <w:p>
            <w:pPr>
              <w:adjustRightInd w:val="0"/>
              <w:snapToGrid w:val="0"/>
              <w:spacing w:before="50" w:line="360" w:lineRule="auto"/>
              <w:jc w:val="center"/>
              <w:rPr>
                <w:rFonts w:hint="default" w:eastAsia="宋体"/>
                <w:color w:val="auto"/>
                <w:highlight w:val="none"/>
                <w:lang w:val="en-US" w:eastAsia="zh-CN"/>
              </w:rPr>
            </w:pPr>
          </w:p>
        </w:tc>
        <w:tc>
          <w:tcPr>
            <w:tcW w:w="2082" w:type="dxa"/>
            <w:tcBorders>
              <w:right w:val="single" w:color="auto" w:sz="4" w:space="0"/>
            </w:tcBorders>
          </w:tcPr>
          <w:p>
            <w:pPr>
              <w:adjustRightInd w:val="0"/>
              <w:snapToGrid w:val="0"/>
              <w:spacing w:before="50" w:line="360" w:lineRule="auto"/>
              <w:rPr>
                <w:color w:val="auto"/>
                <w:highlight w:val="none"/>
              </w:rPr>
            </w:pPr>
          </w:p>
        </w:tc>
        <w:tc>
          <w:tcPr>
            <w:tcW w:w="1942" w:type="dxa"/>
            <w:tcBorders>
              <w:left w:val="single" w:color="auto" w:sz="4" w:space="0"/>
            </w:tcBorders>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2</w:t>
            </w: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ascii="宋体" w:hAnsi="宋体"/>
                <w:color w:val="auto"/>
                <w:szCs w:val="21"/>
                <w:highlight w:val="none"/>
              </w:rPr>
            </w:pPr>
            <w:r>
              <w:rPr>
                <w:rFonts w:hint="eastAsia" w:ascii="宋体" w:hAnsi="宋体"/>
                <w:color w:val="auto"/>
                <w:szCs w:val="21"/>
                <w:highlight w:val="none"/>
              </w:rPr>
              <w:t>3</w:t>
            </w:r>
          </w:p>
        </w:tc>
        <w:tc>
          <w:tcPr>
            <w:tcW w:w="2410"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85" w:type="dxa"/>
            <w:vAlign w:val="center"/>
          </w:tcPr>
          <w:p>
            <w:pPr>
              <w:adjustRightInd w:val="0"/>
              <w:snapToGrid w:val="0"/>
              <w:spacing w:before="50" w:line="360" w:lineRule="auto"/>
              <w:ind w:left="-88" w:leftChars="-42"/>
              <w:jc w:val="center"/>
              <w:rPr>
                <w:rFonts w:ascii="宋体" w:hAnsi="宋体"/>
                <w:color w:val="auto"/>
                <w:szCs w:val="21"/>
                <w:highlight w:val="none"/>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410" w:type="dxa"/>
            <w:vAlign w:val="center"/>
          </w:tcPr>
          <w:p>
            <w:pPr>
              <w:adjustRightInd w:val="0"/>
              <w:snapToGrid w:val="0"/>
              <w:spacing w:before="50" w:line="360" w:lineRule="auto"/>
              <w:ind w:left="-88" w:leftChars="-42"/>
              <w:jc w:val="center"/>
              <w:rPr>
                <w:rFonts w:hint="eastAsia" w:ascii="宋体" w:hAnsi="宋体"/>
                <w:color w:val="auto"/>
                <w:szCs w:val="21"/>
                <w:highlight w:val="none"/>
              </w:rPr>
            </w:pPr>
          </w:p>
        </w:tc>
        <w:tc>
          <w:tcPr>
            <w:tcW w:w="1985" w:type="dxa"/>
            <w:vAlign w:val="center"/>
          </w:tcPr>
          <w:p>
            <w:pPr>
              <w:adjustRightInd w:val="0"/>
              <w:snapToGrid w:val="0"/>
              <w:spacing w:before="50" w:line="360" w:lineRule="auto"/>
              <w:ind w:left="-88" w:leftChars="-42"/>
              <w:jc w:val="center"/>
              <w:rPr>
                <w:rFonts w:hint="default" w:ascii="Arial" w:hAnsi="Arial" w:eastAsia="宋体" w:cs="Arial"/>
                <w:color w:val="auto"/>
                <w:szCs w:val="21"/>
                <w:highlight w:val="none"/>
                <w:lang w:val="en-US" w:eastAsia="zh-CN"/>
              </w:rPr>
            </w:pP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95" w:type="dxa"/>
            <w:vAlign w:val="center"/>
          </w:tcPr>
          <w:p>
            <w:pPr>
              <w:adjustRightInd w:val="0"/>
              <w:snapToGrid w:val="0"/>
              <w:spacing w:before="50" w:line="360" w:lineRule="auto"/>
              <w:ind w:left="-88" w:leftChars="-42"/>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5</w:t>
            </w:r>
          </w:p>
        </w:tc>
        <w:tc>
          <w:tcPr>
            <w:tcW w:w="2410" w:type="dxa"/>
            <w:vAlign w:val="center"/>
          </w:tcPr>
          <w:p>
            <w:pPr>
              <w:adjustRightInd w:val="0"/>
              <w:snapToGrid w:val="0"/>
              <w:spacing w:before="50" w:line="360" w:lineRule="auto"/>
              <w:ind w:left="-88" w:leftChars="-42"/>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1985" w:type="dxa"/>
            <w:vAlign w:val="center"/>
          </w:tcPr>
          <w:p>
            <w:pPr>
              <w:adjustRightInd w:val="0"/>
              <w:snapToGrid w:val="0"/>
              <w:spacing w:before="50" w:line="360" w:lineRule="auto"/>
              <w:ind w:left="-88" w:leftChars="-42"/>
              <w:jc w:val="center"/>
              <w:rPr>
                <w:rFonts w:hint="default" w:ascii="Arial" w:hAnsi="Arial" w:cs="Arial"/>
                <w:color w:val="auto"/>
                <w:szCs w:val="21"/>
                <w:highlight w:val="none"/>
              </w:rPr>
            </w:pPr>
            <w:r>
              <w:rPr>
                <w:rFonts w:hint="default" w:ascii="Arial" w:hAnsi="Arial" w:cs="Arial"/>
                <w:color w:val="auto"/>
                <w:szCs w:val="21"/>
                <w:highlight w:val="none"/>
              </w:rPr>
              <w:t>…</w:t>
            </w:r>
          </w:p>
        </w:tc>
        <w:tc>
          <w:tcPr>
            <w:tcW w:w="2082" w:type="dxa"/>
            <w:tcBorders>
              <w:righ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c>
          <w:tcPr>
            <w:tcW w:w="1942" w:type="dxa"/>
            <w:tcBorders>
              <w:left w:val="single" w:color="auto" w:sz="4" w:space="0"/>
            </w:tcBorders>
            <w:vAlign w:val="center"/>
          </w:tcPr>
          <w:p>
            <w:pPr>
              <w:adjustRightInd w:val="0"/>
              <w:snapToGrid w:val="0"/>
              <w:spacing w:before="50" w:line="360" w:lineRule="auto"/>
              <w:ind w:left="-88" w:leftChars="-42"/>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841" w:hRule="atLeast"/>
          <w:jc w:val="center"/>
        </w:trPr>
        <w:tc>
          <w:tcPr>
            <w:tcW w:w="9014" w:type="dxa"/>
            <w:gridSpan w:val="5"/>
            <w:vAlign w:val="center"/>
          </w:tcPr>
          <w:p>
            <w:pPr>
              <w:adjustRightInd w:val="0"/>
              <w:snapToGrid w:val="0"/>
              <w:spacing w:before="50" w:line="360" w:lineRule="auto"/>
              <w:jc w:val="left"/>
              <w:rPr>
                <w:rFonts w:ascii="宋体" w:hAnsi="宋体"/>
                <w:b/>
                <w:color w:val="auto"/>
                <w:szCs w:val="21"/>
                <w:highlight w:val="none"/>
              </w:rPr>
            </w:pPr>
            <w:r>
              <w:rPr>
                <w:rFonts w:hint="eastAsia" w:ascii="宋体" w:hAnsi="宋体"/>
                <w:b/>
                <w:color w:val="auto"/>
                <w:szCs w:val="21"/>
                <w:highlight w:val="none"/>
              </w:rPr>
              <w:t>供应商保证：除本商务、合同条款响应偏离表列出的偏离外，我单位对</w:t>
            </w:r>
            <w:r>
              <w:rPr>
                <w:rFonts w:hint="eastAsia" w:ascii="宋体" w:hAnsi="宋体" w:cs="Times New Roman"/>
                <w:b/>
                <w:color w:val="auto"/>
                <w:szCs w:val="21"/>
                <w:highlight w:val="none"/>
                <w:lang w:val="en-US" w:eastAsia="zh-CN"/>
              </w:rPr>
              <w:t>询价通知书</w:t>
            </w:r>
            <w:r>
              <w:rPr>
                <w:rFonts w:hint="eastAsia" w:ascii="宋体" w:hAnsi="宋体"/>
                <w:b/>
                <w:color w:val="auto"/>
                <w:szCs w:val="21"/>
                <w:highlight w:val="none"/>
              </w:rPr>
              <w:t>的其他商务、合同条款完全响应，无偏离。</w:t>
            </w:r>
          </w:p>
        </w:tc>
      </w:tr>
    </w:tbl>
    <w:p>
      <w:pPr>
        <w:adjustRightInd w:val="0"/>
        <w:snapToGrid w:val="0"/>
        <w:spacing w:before="50" w:line="360" w:lineRule="auto"/>
        <w:ind w:left="-88" w:leftChars="-42"/>
        <w:rPr>
          <w:rFonts w:ascii="宋体" w:hAnsi="宋体"/>
          <w:color w:val="auto"/>
          <w:szCs w:val="21"/>
          <w:highlight w:val="none"/>
        </w:rPr>
      </w:pPr>
      <w:r>
        <w:rPr>
          <w:rFonts w:hint="eastAsia" w:ascii="宋体" w:hAnsi="宋体"/>
          <w:b/>
          <w:color w:val="auto"/>
          <w:szCs w:val="21"/>
          <w:highlight w:val="none"/>
        </w:rPr>
        <w:t>备注</w:t>
      </w:r>
      <w:r>
        <w:rPr>
          <w:rFonts w:hint="eastAsia" w:ascii="宋体" w:hAnsi="宋体"/>
          <w:color w:val="auto"/>
          <w:szCs w:val="21"/>
          <w:highlight w:val="none"/>
        </w:rPr>
        <w:t>：（1）供应商应根据</w:t>
      </w:r>
      <w:r>
        <w:rPr>
          <w:rFonts w:hint="eastAsia" w:ascii="宋体" w:hAnsi="宋体"/>
          <w:color w:val="auto"/>
          <w:szCs w:val="21"/>
          <w:highlight w:val="none"/>
          <w:lang w:eastAsia="zh-CN"/>
        </w:rPr>
        <w:t>询价通知书</w:t>
      </w:r>
      <w:r>
        <w:rPr>
          <w:rFonts w:hint="eastAsia" w:ascii="宋体" w:hAnsi="宋体"/>
          <w:color w:val="auto"/>
          <w:szCs w:val="21"/>
          <w:highlight w:val="none"/>
          <w:lang w:val="en-US" w:eastAsia="zh-CN"/>
        </w:rPr>
        <w:t>第二章第一节“</w:t>
      </w:r>
      <w:r>
        <w:rPr>
          <w:rFonts w:hint="eastAsia" w:ascii="宋体" w:hAnsi="宋体" w:cs="Times New Roman"/>
          <w:color w:val="auto"/>
          <w:szCs w:val="21"/>
          <w:highlight w:val="none"/>
          <w:lang w:val="en-US" w:eastAsia="zh-CN"/>
        </w:rPr>
        <w:t>询价</w:t>
      </w:r>
      <w:r>
        <w:rPr>
          <w:rFonts w:hint="eastAsia" w:ascii="宋体" w:hAnsi="宋体" w:eastAsia="宋体" w:cs="Times New Roman"/>
          <w:color w:val="auto"/>
          <w:szCs w:val="21"/>
          <w:highlight w:val="none"/>
        </w:rPr>
        <w:t>须知前附表</w:t>
      </w:r>
      <w:r>
        <w:rPr>
          <w:rFonts w:hint="eastAsia" w:ascii="宋体" w:hAnsi="宋体"/>
          <w:color w:val="auto"/>
          <w:szCs w:val="21"/>
          <w:highlight w:val="none"/>
          <w:lang w:val="en-US" w:eastAsia="zh-CN"/>
        </w:rPr>
        <w:t>”及</w:t>
      </w:r>
      <w:r>
        <w:rPr>
          <w:rFonts w:hint="eastAsia" w:ascii="宋体" w:hAnsi="宋体" w:eastAsia="宋体" w:cs="Times New Roman"/>
          <w:b w:val="0"/>
          <w:bCs/>
          <w:color w:val="auto"/>
          <w:szCs w:val="21"/>
          <w:highlight w:val="none"/>
        </w:rPr>
        <w:t>第</w:t>
      </w:r>
      <w:r>
        <w:rPr>
          <w:rFonts w:hint="eastAsia" w:ascii="宋体" w:hAnsi="宋体" w:eastAsia="宋体" w:cs="Times New Roman"/>
          <w:b w:val="0"/>
          <w:bCs/>
          <w:color w:val="auto"/>
          <w:szCs w:val="21"/>
          <w:highlight w:val="none"/>
          <w:lang w:eastAsia="zh-CN"/>
        </w:rPr>
        <w:t>三</w:t>
      </w:r>
      <w:r>
        <w:rPr>
          <w:rFonts w:hint="eastAsia" w:ascii="宋体" w:hAnsi="宋体" w:eastAsia="宋体" w:cs="Times New Roman"/>
          <w:b w:val="0"/>
          <w:bCs/>
          <w:color w:val="auto"/>
          <w:szCs w:val="21"/>
          <w:highlight w:val="none"/>
        </w:rPr>
        <w:t>章“</w:t>
      </w:r>
      <w:r>
        <w:rPr>
          <w:rFonts w:hint="eastAsia" w:ascii="宋体" w:hAnsi="宋体" w:eastAsia="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合同格式”</w:t>
      </w:r>
      <w:r>
        <w:rPr>
          <w:rFonts w:hint="eastAsia" w:ascii="宋体" w:hAnsi="宋体"/>
          <w:color w:val="auto"/>
          <w:szCs w:val="21"/>
          <w:highlight w:val="none"/>
        </w:rPr>
        <w:t>填写本表；</w:t>
      </w:r>
    </w:p>
    <w:p>
      <w:pPr>
        <w:adjustRightInd w:val="0"/>
        <w:snapToGrid w:val="0"/>
        <w:spacing w:before="50" w:line="360" w:lineRule="auto"/>
        <w:ind w:left="-88" w:leftChars="-42" w:firstLine="420" w:firstLineChars="200"/>
        <w:rPr>
          <w:rFonts w:ascii="宋体" w:hAnsi="宋体"/>
          <w:color w:val="auto"/>
          <w:szCs w:val="21"/>
          <w:highlight w:val="none"/>
        </w:rPr>
      </w:pPr>
      <w:r>
        <w:rPr>
          <w:rFonts w:hint="eastAsia" w:ascii="宋体" w:hAnsi="宋体"/>
          <w:color w:val="auto"/>
          <w:szCs w:val="21"/>
          <w:highlight w:val="none"/>
        </w:rPr>
        <w:t>（2）供应商如果对</w:t>
      </w:r>
      <w:r>
        <w:rPr>
          <w:rFonts w:hint="eastAsia" w:ascii="宋体" w:hAnsi="宋体"/>
          <w:color w:val="auto"/>
          <w:szCs w:val="21"/>
          <w:highlight w:val="none"/>
          <w:lang w:eastAsia="zh-CN"/>
        </w:rPr>
        <w:t>询价通知书</w:t>
      </w:r>
      <w:r>
        <w:rPr>
          <w:rFonts w:hint="eastAsia" w:ascii="宋体" w:hAnsi="宋体"/>
          <w:color w:val="auto"/>
          <w:szCs w:val="21"/>
          <w:highlight w:val="none"/>
          <w:lang w:val="en-US" w:eastAsia="zh-CN"/>
        </w:rPr>
        <w:t>第二章第一节“</w:t>
      </w:r>
      <w:r>
        <w:rPr>
          <w:rFonts w:hint="eastAsia" w:ascii="宋体" w:hAnsi="宋体" w:cs="Times New Roman"/>
          <w:color w:val="auto"/>
          <w:szCs w:val="21"/>
          <w:highlight w:val="none"/>
          <w:lang w:val="en-US" w:eastAsia="zh-CN"/>
        </w:rPr>
        <w:t>询价</w:t>
      </w:r>
      <w:r>
        <w:rPr>
          <w:rFonts w:hint="eastAsia" w:ascii="宋体" w:hAnsi="宋体" w:eastAsia="宋体" w:cs="Times New Roman"/>
          <w:color w:val="auto"/>
          <w:szCs w:val="21"/>
          <w:highlight w:val="none"/>
        </w:rPr>
        <w:t>须知前附表</w:t>
      </w:r>
      <w:r>
        <w:rPr>
          <w:rFonts w:hint="eastAsia" w:ascii="宋体" w:hAnsi="宋体"/>
          <w:color w:val="auto"/>
          <w:szCs w:val="21"/>
          <w:highlight w:val="none"/>
          <w:lang w:val="en-US" w:eastAsia="zh-CN"/>
        </w:rPr>
        <w:t>”及</w:t>
      </w:r>
      <w:r>
        <w:rPr>
          <w:rFonts w:hint="eastAsia" w:ascii="宋体" w:hAnsi="宋体" w:eastAsia="宋体" w:cs="Times New Roman"/>
          <w:b w:val="0"/>
          <w:bCs/>
          <w:color w:val="auto"/>
          <w:szCs w:val="21"/>
          <w:highlight w:val="none"/>
        </w:rPr>
        <w:t>第</w:t>
      </w:r>
      <w:r>
        <w:rPr>
          <w:rFonts w:hint="eastAsia" w:ascii="宋体" w:hAnsi="宋体" w:eastAsia="宋体" w:cs="Times New Roman"/>
          <w:b w:val="0"/>
          <w:bCs/>
          <w:color w:val="auto"/>
          <w:szCs w:val="21"/>
          <w:highlight w:val="none"/>
          <w:lang w:eastAsia="zh-CN"/>
        </w:rPr>
        <w:t>三</w:t>
      </w:r>
      <w:r>
        <w:rPr>
          <w:rFonts w:hint="eastAsia" w:ascii="宋体" w:hAnsi="宋体" w:eastAsia="宋体" w:cs="Times New Roman"/>
          <w:b w:val="0"/>
          <w:bCs/>
          <w:color w:val="auto"/>
          <w:szCs w:val="21"/>
          <w:highlight w:val="none"/>
        </w:rPr>
        <w:t>章“</w:t>
      </w:r>
      <w:r>
        <w:rPr>
          <w:rFonts w:hint="eastAsia" w:ascii="宋体" w:hAnsi="宋体" w:eastAsia="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合同格式”</w:t>
      </w:r>
      <w:r>
        <w:rPr>
          <w:rFonts w:hint="eastAsia" w:ascii="宋体" w:hAnsi="宋体"/>
          <w:color w:val="auto"/>
          <w:szCs w:val="21"/>
          <w:highlight w:val="none"/>
        </w:rPr>
        <w:t>的响应有偏离，应将偏离条款逐条如实应答，并作出说明；</w:t>
      </w:r>
    </w:p>
    <w:p>
      <w:pPr>
        <w:adjustRightInd w:val="0"/>
        <w:snapToGrid w:val="0"/>
        <w:spacing w:before="50" w:line="360" w:lineRule="auto"/>
        <w:ind w:left="-88" w:leftChars="-42" w:firstLine="420" w:firstLineChars="200"/>
        <w:rPr>
          <w:rFonts w:ascii="宋体" w:hAnsi="宋体"/>
          <w:color w:val="auto"/>
          <w:szCs w:val="21"/>
          <w:highlight w:val="none"/>
        </w:rPr>
      </w:pPr>
      <w:r>
        <w:rPr>
          <w:rFonts w:hint="eastAsia" w:ascii="宋体" w:hAnsi="宋体"/>
          <w:color w:val="auto"/>
          <w:szCs w:val="21"/>
          <w:highlight w:val="none"/>
        </w:rPr>
        <w:t>（3）如不提供此表，则视为供应商不满足</w:t>
      </w:r>
      <w:r>
        <w:rPr>
          <w:rFonts w:hint="eastAsia" w:ascii="宋体" w:hAnsi="宋体"/>
          <w:color w:val="auto"/>
          <w:szCs w:val="21"/>
          <w:highlight w:val="none"/>
          <w:lang w:eastAsia="zh-CN"/>
        </w:rPr>
        <w:t>询价通知书</w:t>
      </w:r>
      <w:r>
        <w:rPr>
          <w:rFonts w:hint="eastAsia" w:ascii="宋体" w:hAnsi="宋体"/>
          <w:color w:val="auto"/>
          <w:szCs w:val="21"/>
          <w:highlight w:val="none"/>
          <w:lang w:val="en-US" w:eastAsia="zh-CN"/>
        </w:rPr>
        <w:t>第二章及</w:t>
      </w:r>
      <w:r>
        <w:rPr>
          <w:rFonts w:hint="eastAsia" w:ascii="宋体" w:hAnsi="宋体" w:eastAsia="宋体" w:cs="Times New Roman"/>
          <w:b w:val="0"/>
          <w:bCs/>
          <w:color w:val="auto"/>
          <w:szCs w:val="21"/>
          <w:highlight w:val="none"/>
        </w:rPr>
        <w:t>第</w:t>
      </w:r>
      <w:r>
        <w:rPr>
          <w:rFonts w:hint="eastAsia" w:ascii="宋体" w:hAnsi="宋体" w:eastAsia="宋体" w:cs="Times New Roman"/>
          <w:b w:val="0"/>
          <w:bCs/>
          <w:color w:val="auto"/>
          <w:szCs w:val="21"/>
          <w:highlight w:val="none"/>
          <w:lang w:eastAsia="zh-CN"/>
        </w:rPr>
        <w:t>三</w:t>
      </w:r>
      <w:r>
        <w:rPr>
          <w:rFonts w:hint="eastAsia" w:ascii="宋体" w:hAnsi="宋体" w:eastAsia="宋体" w:cs="Times New Roman"/>
          <w:b w:val="0"/>
          <w:bCs/>
          <w:color w:val="auto"/>
          <w:szCs w:val="21"/>
          <w:highlight w:val="none"/>
        </w:rPr>
        <w:t>章</w:t>
      </w:r>
      <w:r>
        <w:rPr>
          <w:rFonts w:hint="eastAsia" w:ascii="宋体" w:hAnsi="宋体"/>
          <w:color w:val="auto"/>
          <w:szCs w:val="21"/>
          <w:highlight w:val="none"/>
        </w:rPr>
        <w:t>的所有条款要求，其</w:t>
      </w:r>
      <w:r>
        <w:rPr>
          <w:rFonts w:hint="eastAsia" w:ascii="宋体" w:hAnsi="宋体"/>
          <w:b/>
          <w:color w:val="auto"/>
          <w:szCs w:val="21"/>
          <w:highlight w:val="none"/>
        </w:rPr>
        <w:t>响应无效</w:t>
      </w:r>
      <w:r>
        <w:rPr>
          <w:rFonts w:hint="eastAsia" w:ascii="宋体" w:hAnsi="宋体"/>
          <w:color w:val="auto"/>
          <w:szCs w:val="21"/>
          <w:highlight w:val="none"/>
        </w:rPr>
        <w:t>。</w:t>
      </w:r>
    </w:p>
    <w:p>
      <w:pPr>
        <w:pStyle w:val="17"/>
        <w:adjustRightInd w:val="0"/>
        <w:snapToGrid w:val="0"/>
        <w:spacing w:line="360" w:lineRule="auto"/>
        <w:outlineLvl w:val="0"/>
        <w:rPr>
          <w:rFonts w:hint="eastAsia" w:ascii="宋体" w:hAnsi="宋体"/>
          <w:color w:val="auto"/>
          <w:sz w:val="21"/>
          <w:szCs w:val="21"/>
          <w:highlight w:val="none"/>
        </w:rPr>
      </w:pPr>
    </w:p>
    <w:p>
      <w:pPr>
        <w:pStyle w:val="17"/>
        <w:adjustRightInd w:val="0"/>
        <w:snapToGrid w:val="0"/>
        <w:spacing w:line="360" w:lineRule="auto"/>
        <w:outlineLvl w:val="0"/>
        <w:rPr>
          <w:rFonts w:hint="eastAsia" w:ascii="宋体" w:hAnsi="宋体"/>
          <w:bCs/>
          <w:color w:val="auto"/>
          <w:sz w:val="21"/>
          <w:szCs w:val="21"/>
          <w:highlight w:val="none"/>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rPr>
        <w:t xml:space="preserve">                   </w:t>
      </w:r>
    </w:p>
    <w:p>
      <w:pPr>
        <w:adjustRightInd w:val="0"/>
        <w:snapToGrid w:val="0"/>
        <w:spacing w:line="360" w:lineRule="auto"/>
        <w:outlineLvl w:val="0"/>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pPr>
        <w:adjustRightInd w:val="0"/>
        <w:snapToGrid w:val="0"/>
        <w:spacing w:line="360" w:lineRule="auto"/>
        <w:outlineLvl w:val="0"/>
        <w:rPr>
          <w:rFonts w:hint="eastAsia" w:ascii="Times New Roman" w:hAnsi="Times New Roman"/>
          <w:color w:val="auto"/>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pPr>
        <w:tabs>
          <w:tab w:val="left" w:pos="3600"/>
        </w:tabs>
        <w:adjustRightInd w:val="0"/>
        <w:snapToGrid w:val="0"/>
        <w:jc w:val="center"/>
        <w:rPr>
          <w:rFonts w:hint="eastAsia" w:ascii="黑体" w:eastAsia="黑体"/>
          <w:b/>
          <w:color w:val="auto"/>
          <w:sz w:val="32"/>
          <w:szCs w:val="32"/>
          <w:highlight w:val="none"/>
        </w:rPr>
      </w:pPr>
    </w:p>
    <w:p>
      <w:pPr>
        <w:tabs>
          <w:tab w:val="left" w:pos="3600"/>
        </w:tabs>
        <w:adjustRightInd w:val="0"/>
        <w:snapToGrid w:val="0"/>
        <w:jc w:val="both"/>
        <w:rPr>
          <w:rFonts w:hint="eastAsia" w:ascii="黑体" w:eastAsia="黑体"/>
          <w:b/>
          <w:color w:val="auto"/>
          <w:sz w:val="32"/>
          <w:szCs w:val="32"/>
          <w:highlight w:val="none"/>
        </w:rPr>
      </w:pPr>
    </w:p>
    <w:p>
      <w:pPr>
        <w:tabs>
          <w:tab w:val="left" w:pos="3600"/>
        </w:tabs>
        <w:adjustRightInd w:val="0"/>
        <w:snapToGrid w:val="0"/>
        <w:jc w:val="center"/>
        <w:rPr>
          <w:rFonts w:hint="eastAsia" w:ascii="黑体" w:eastAsia="黑体"/>
          <w:b/>
          <w:color w:val="auto"/>
          <w:sz w:val="32"/>
          <w:szCs w:val="32"/>
          <w:highlight w:val="none"/>
        </w:rPr>
      </w:pPr>
    </w:p>
    <w:p>
      <w:pPr>
        <w:tabs>
          <w:tab w:val="left" w:pos="3600"/>
        </w:tabs>
        <w:adjustRightInd w:val="0"/>
        <w:snapToGrid w:val="0"/>
        <w:jc w:val="center"/>
        <w:rPr>
          <w:rFonts w:hint="eastAsia" w:ascii="黑体" w:eastAsia="黑体"/>
          <w:b/>
          <w:color w:val="auto"/>
          <w:sz w:val="32"/>
          <w:szCs w:val="32"/>
          <w:highlight w:val="none"/>
        </w:rPr>
      </w:pPr>
    </w:p>
    <w:p>
      <w:pPr>
        <w:tabs>
          <w:tab w:val="left" w:pos="3600"/>
        </w:tabs>
        <w:adjustRightInd w:val="0"/>
        <w:snapToGrid w:val="0"/>
        <w:jc w:val="center"/>
        <w:rPr>
          <w:rFonts w:hint="eastAsia" w:ascii="黑体" w:eastAsia="黑体"/>
          <w:b/>
          <w:color w:val="auto"/>
          <w:sz w:val="32"/>
          <w:szCs w:val="32"/>
          <w:highlight w:val="none"/>
        </w:rPr>
      </w:pPr>
    </w:p>
    <w:p>
      <w:pPr>
        <w:pStyle w:val="6"/>
        <w:rPr>
          <w:rFonts w:hint="eastAsia"/>
          <w:color w:val="auto"/>
          <w:highlight w:val="none"/>
        </w:rPr>
      </w:pPr>
    </w:p>
    <w:p>
      <w:pPr>
        <w:rPr>
          <w:rFonts w:hint="eastAsia"/>
        </w:rPr>
      </w:pPr>
    </w:p>
    <w:p>
      <w:pPr>
        <w:adjustRightInd w:val="0"/>
        <w:snapToGrid w:val="0"/>
        <w:spacing w:before="50" w:line="360" w:lineRule="auto"/>
        <w:jc w:val="center"/>
        <w:rPr>
          <w:rFonts w:hint="eastAsia" w:ascii="黑体" w:hAnsi="宋体" w:eastAsia="黑体"/>
          <w:b/>
          <w:color w:val="auto"/>
          <w:sz w:val="32"/>
          <w:szCs w:val="32"/>
          <w:highlight w:val="none"/>
        </w:rPr>
      </w:pPr>
      <w:r>
        <w:rPr>
          <w:rFonts w:hint="eastAsia" w:ascii="黑体" w:hAnsi="宋体" w:eastAsia="黑体" w:cs="Times New Roman"/>
          <w:b/>
          <w:color w:val="auto"/>
          <w:sz w:val="32"/>
          <w:szCs w:val="32"/>
          <w:highlight w:val="none"/>
          <w:lang w:eastAsia="zh-CN"/>
        </w:rPr>
        <w:t>六</w:t>
      </w:r>
      <w:r>
        <w:rPr>
          <w:rFonts w:hint="eastAsia" w:ascii="黑体" w:hAnsi="宋体" w:eastAsia="黑体" w:cs="Times New Roman"/>
          <w:b/>
          <w:bCs w:val="0"/>
          <w:color w:val="auto"/>
          <w:sz w:val="32"/>
          <w:szCs w:val="32"/>
          <w:highlight w:val="none"/>
        </w:rPr>
        <w:t>、</w:t>
      </w:r>
      <w:r>
        <w:rPr>
          <w:rFonts w:hint="eastAsia" w:ascii="黑体" w:hAnsi="宋体" w:eastAsia="黑体"/>
          <w:b/>
          <w:color w:val="auto"/>
          <w:sz w:val="32"/>
          <w:szCs w:val="32"/>
          <w:highlight w:val="none"/>
        </w:rPr>
        <w:t>报价一览表及报价文件</w:t>
      </w:r>
    </w:p>
    <w:p>
      <w:pPr>
        <w:adjustRightInd w:val="0"/>
        <w:snapToGrid w:val="0"/>
        <w:rPr>
          <w:rFonts w:hint="eastAsia" w:ascii="黑体" w:hAnsi="宋体" w:eastAsia="黑体"/>
          <w:b/>
          <w:color w:val="auto"/>
          <w:sz w:val="24"/>
          <w:highlight w:val="none"/>
        </w:rPr>
      </w:pPr>
    </w:p>
    <w:p>
      <w:pPr>
        <w:ind w:firstLine="3654" w:firstLineChars="1300"/>
        <w:rPr>
          <w:rFonts w:ascii="黑体" w:hAnsi="宋体" w:eastAsia="黑体"/>
          <w:b/>
          <w:color w:val="auto"/>
          <w:sz w:val="28"/>
          <w:szCs w:val="28"/>
          <w:highlight w:val="none"/>
        </w:rPr>
      </w:pPr>
      <w:r>
        <w:rPr>
          <w:rFonts w:hint="eastAsia" w:ascii="黑体" w:hAnsi="宋体" w:eastAsia="黑体"/>
          <w:b/>
          <w:bCs/>
          <w:color w:val="auto"/>
          <w:sz w:val="28"/>
          <w:szCs w:val="28"/>
          <w:highlight w:val="none"/>
        </w:rPr>
        <w:t>报价一览表</w:t>
      </w:r>
    </w:p>
    <w:p>
      <w:pPr>
        <w:adjustRightInd w:val="0"/>
        <w:snapToGrid w:val="0"/>
        <w:rPr>
          <w:rFonts w:ascii="黑体" w:hAnsi="宋体" w:eastAsia="黑体"/>
          <w:color w:val="auto"/>
          <w:sz w:val="24"/>
          <w:highlight w:val="none"/>
        </w:rPr>
      </w:pPr>
    </w:p>
    <w:p>
      <w:pPr>
        <w:adjustRightInd w:val="0"/>
        <w:snapToGrid w:val="0"/>
        <w:spacing w:before="156" w:beforeLines="50" w:line="360" w:lineRule="auto"/>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adjustRightInd w:val="0"/>
        <w:snapToGrid w:val="0"/>
        <w:jc w:val="both"/>
        <w:rPr>
          <w:rFonts w:hint="eastAsia" w:ascii="黑体" w:hAnsi="宋体" w:eastAsia="黑体"/>
          <w:color w:val="auto"/>
          <w:sz w:val="24"/>
          <w:highlight w:val="none"/>
        </w:rPr>
      </w:pPr>
    </w:p>
    <w:tbl>
      <w:tblPr>
        <w:tblStyle w:val="29"/>
        <w:tblW w:w="89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7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38"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color w:val="auto"/>
                <w:szCs w:val="21"/>
                <w:highlight w:val="none"/>
              </w:rPr>
            </w:pPr>
            <w:r>
              <w:rPr>
                <w:rFonts w:ascii="宋体" w:hAnsi="宋体"/>
                <w:color w:val="auto"/>
                <w:szCs w:val="21"/>
                <w:highlight w:val="none"/>
              </w:rPr>
              <w:t>项目名称</w:t>
            </w:r>
            <w:r>
              <w:rPr>
                <w:rFonts w:ascii="宋体" w:hAnsi="宋体"/>
                <w:color w:val="auto"/>
                <w:szCs w:val="21"/>
                <w:highlight w:val="none"/>
              </w:rPr>
              <w:tab/>
            </w:r>
            <w:r>
              <w:rPr>
                <w:rFonts w:ascii="宋体" w:hAnsi="宋体"/>
                <w:color w:val="auto"/>
                <w:szCs w:val="21"/>
                <w:highlight w:val="none"/>
              </w:rPr>
              <w:t>项目名称</w:t>
            </w:r>
          </w:p>
        </w:tc>
        <w:tc>
          <w:tcPr>
            <w:tcW w:w="728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38" w:type="dxa"/>
            <w:tcBorders>
              <w:top w:val="single" w:color="auto" w:sz="6" w:space="0"/>
              <w:left w:val="double" w:color="auto" w:sz="4" w:space="0"/>
              <w:right w:val="single" w:color="auto" w:sz="6" w:space="0"/>
            </w:tcBorders>
            <w:noWrap w:val="0"/>
            <w:vAlign w:val="center"/>
          </w:tcPr>
          <w:p>
            <w:pPr>
              <w:spacing w:line="420" w:lineRule="exact"/>
              <w:ind w:firstLine="105" w:firstLineChars="50"/>
              <w:rPr>
                <w:rFonts w:hint="eastAsia" w:ascii="宋体" w:hAnsi="宋体"/>
                <w:color w:val="auto"/>
                <w:szCs w:val="21"/>
                <w:highlight w:val="none"/>
              </w:rPr>
            </w:pPr>
            <w:r>
              <w:rPr>
                <w:rFonts w:hint="eastAsia" w:ascii="宋体" w:hAnsi="宋体"/>
                <w:color w:val="auto"/>
                <w:szCs w:val="21"/>
                <w:highlight w:val="none"/>
              </w:rPr>
              <w:t>服务内容</w:t>
            </w:r>
          </w:p>
        </w:tc>
        <w:tc>
          <w:tcPr>
            <w:tcW w:w="728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38"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color w:val="auto"/>
                <w:szCs w:val="21"/>
                <w:highlight w:val="none"/>
              </w:rPr>
            </w:pPr>
            <w:r>
              <w:rPr>
                <w:rFonts w:ascii="宋体" w:hAnsi="宋体"/>
                <w:color w:val="auto"/>
                <w:szCs w:val="21"/>
                <w:highlight w:val="none"/>
              </w:rPr>
              <w:t>报价</w:t>
            </w:r>
          </w:p>
        </w:tc>
        <w:tc>
          <w:tcPr>
            <w:tcW w:w="7280" w:type="dxa"/>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rPr>
              <w:t>元人民币</w:t>
            </w:r>
          </w:p>
          <w:p>
            <w:pPr>
              <w:spacing w:line="420" w:lineRule="exact"/>
              <w:rPr>
                <w:rFonts w:hint="eastAsia"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元人民币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638"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color w:val="auto"/>
                <w:szCs w:val="21"/>
                <w:highlight w:val="none"/>
              </w:rPr>
            </w:pPr>
            <w:r>
              <w:rPr>
                <w:rFonts w:hint="eastAsia" w:ascii="宋体" w:hAnsi="宋体"/>
                <w:color w:val="auto"/>
                <w:szCs w:val="21"/>
                <w:highlight w:val="none"/>
              </w:rPr>
              <w:t>合同</w:t>
            </w:r>
            <w:r>
              <w:rPr>
                <w:rFonts w:ascii="宋体" w:hAnsi="宋体"/>
                <w:color w:val="auto"/>
                <w:szCs w:val="21"/>
                <w:highlight w:val="none"/>
              </w:rPr>
              <w:t>周期</w:t>
            </w:r>
          </w:p>
        </w:tc>
        <w:tc>
          <w:tcPr>
            <w:tcW w:w="7280" w:type="dxa"/>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638"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color w:val="auto"/>
                <w:szCs w:val="21"/>
                <w:highlight w:val="none"/>
              </w:rPr>
            </w:pPr>
            <w:r>
              <w:rPr>
                <w:rFonts w:hint="eastAsia" w:ascii="宋体" w:hAnsi="宋体"/>
                <w:color w:val="auto"/>
                <w:szCs w:val="21"/>
                <w:highlight w:val="none"/>
              </w:rPr>
              <w:t>项目负责人</w:t>
            </w:r>
          </w:p>
        </w:tc>
        <w:tc>
          <w:tcPr>
            <w:tcW w:w="7280" w:type="dxa"/>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38"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color w:val="auto"/>
                <w:szCs w:val="21"/>
                <w:highlight w:val="none"/>
              </w:rPr>
            </w:pPr>
            <w:r>
              <w:rPr>
                <w:rFonts w:ascii="宋体" w:hAnsi="宋体"/>
                <w:color w:val="auto"/>
                <w:szCs w:val="21"/>
                <w:highlight w:val="none"/>
              </w:rPr>
              <w:t>备  注</w:t>
            </w:r>
          </w:p>
        </w:tc>
        <w:tc>
          <w:tcPr>
            <w:tcW w:w="7280" w:type="dxa"/>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color w:val="auto"/>
                <w:szCs w:val="21"/>
                <w:highlight w:val="none"/>
              </w:rPr>
            </w:pPr>
          </w:p>
        </w:tc>
      </w:tr>
    </w:tbl>
    <w:p>
      <w:pPr>
        <w:adjustRightInd w:val="0"/>
        <w:snapToGrid w:val="0"/>
        <w:spacing w:before="156" w:beforeLines="50" w:line="360" w:lineRule="auto"/>
        <w:rPr>
          <w:color w:val="auto"/>
          <w:highlight w:val="none"/>
        </w:rPr>
      </w:pPr>
    </w:p>
    <w:p>
      <w:pPr>
        <w:adjustRightInd w:val="0"/>
        <w:snapToGrid w:val="0"/>
        <w:rPr>
          <w:rFonts w:ascii="黑体" w:hAnsi="宋体" w:eastAsia="黑体"/>
          <w:color w:val="auto"/>
          <w:sz w:val="24"/>
          <w:highlight w:val="none"/>
        </w:rPr>
      </w:pPr>
    </w:p>
    <w:p>
      <w:pPr>
        <w:adjustRightInd w:val="0"/>
        <w:snapToGrid w:val="0"/>
        <w:spacing w:line="360" w:lineRule="auto"/>
        <w:rPr>
          <w:rFonts w:hint="eastAsia" w:ascii="宋体" w:hAnsi="宋体"/>
          <w:color w:val="auto"/>
          <w:szCs w:val="21"/>
          <w:highlight w:val="none"/>
        </w:rPr>
      </w:pPr>
    </w:p>
    <w:p>
      <w:pPr>
        <w:pStyle w:val="43"/>
        <w:rPr>
          <w:rFonts w:hint="eastAsia" w:ascii="宋体" w:hAnsi="宋体"/>
          <w:color w:val="auto"/>
          <w:szCs w:val="21"/>
          <w:highlight w:val="none"/>
        </w:rPr>
      </w:pPr>
    </w:p>
    <w:p>
      <w:pPr>
        <w:pStyle w:val="46"/>
        <w:rPr>
          <w:rFonts w:hint="eastAsia" w:ascii="宋体" w:hAnsi="宋体"/>
          <w:color w:val="auto"/>
          <w:szCs w:val="21"/>
          <w:highlight w:val="none"/>
        </w:rPr>
      </w:pPr>
    </w:p>
    <w:p>
      <w:pPr>
        <w:pStyle w:val="46"/>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供应商（盖单位章）：</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360" w:lineRule="auto"/>
        <w:rPr>
          <w:rFonts w:hint="eastAsia" w:ascii="宋体" w:hAnsi="宋体"/>
          <w:color w:val="auto"/>
          <w:szCs w:val="21"/>
          <w:highlight w:val="none"/>
        </w:rPr>
      </w:pPr>
    </w:p>
    <w:p>
      <w:pPr>
        <w:adjustRightInd w:val="0"/>
        <w:snapToGrid w:val="0"/>
        <w:jc w:val="center"/>
        <w:rPr>
          <w:rFonts w:hint="eastAsia" w:ascii="方正小标宋_GBK" w:hAnsi="宋体" w:eastAsia="方正小标宋_GBK"/>
          <w:bCs/>
          <w:color w:val="auto"/>
          <w:sz w:val="36"/>
          <w:szCs w:val="36"/>
          <w:highlight w:val="none"/>
        </w:rPr>
      </w:pPr>
    </w:p>
    <w:p>
      <w:pPr>
        <w:adjustRightInd w:val="0"/>
        <w:snapToGrid w:val="0"/>
        <w:spacing w:line="360" w:lineRule="auto"/>
        <w:rPr>
          <w:rFonts w:hint="eastAsia" w:ascii="宋体" w:hAnsi="宋体"/>
          <w:color w:val="auto"/>
          <w:szCs w:val="21"/>
          <w:highlight w:val="none"/>
        </w:rPr>
        <w:sectPr>
          <w:pgSz w:w="11906" w:h="16838"/>
          <w:pgMar w:top="1440" w:right="1468" w:bottom="1440" w:left="1803" w:header="851" w:footer="992" w:gutter="0"/>
          <w:pgNumType w:fmt="decimal"/>
          <w:cols w:space="0" w:num="1"/>
          <w:rtlGutter w:val="0"/>
          <w:docGrid w:type="lines" w:linePitch="317" w:charSpace="0"/>
        </w:sectPr>
      </w:pPr>
    </w:p>
    <w:p>
      <w:pPr>
        <w:adjustRightInd w:val="0"/>
        <w:snapToGrid w:val="0"/>
        <w:spacing w:line="240" w:lineRule="auto"/>
        <w:ind w:firstLine="0" w:firstLineChars="0"/>
        <w:jc w:val="center"/>
        <w:rPr>
          <w:rFonts w:hint="eastAsia" w:ascii="楷体_GB2312" w:eastAsia="楷体_GB2312"/>
          <w:b/>
          <w:color w:val="auto"/>
          <w:highlight w:val="none"/>
        </w:rPr>
      </w:pPr>
      <w:r>
        <w:rPr>
          <w:rFonts w:hint="eastAsia" w:ascii="黑体" w:hAnsi="宋体" w:eastAsia="黑体"/>
          <w:b/>
          <w:color w:val="auto"/>
          <w:sz w:val="28"/>
          <w:szCs w:val="28"/>
          <w:highlight w:val="none"/>
        </w:rPr>
        <w:t>分项价格表</w:t>
      </w:r>
    </w:p>
    <w:p>
      <w:pPr>
        <w:spacing w:line="360" w:lineRule="exact"/>
        <w:ind w:firstLine="211" w:firstLineChars="100"/>
        <w:rPr>
          <w:rFonts w:hint="eastAsia" w:ascii="楷体_GB2312" w:eastAsia="楷体_GB2312"/>
          <w:b/>
          <w:color w:val="auto"/>
          <w:highlight w:val="none"/>
        </w:rPr>
      </w:pPr>
    </w:p>
    <w:p>
      <w:pPr>
        <w:pageBreakBefore w:val="0"/>
        <w:widowControl/>
        <w:kinsoku/>
        <w:wordWrap/>
        <w:overflowPunct/>
        <w:topLinePunct w:val="0"/>
        <w:bidi w:val="0"/>
        <w:spacing w:line="240" w:lineRule="auto"/>
        <w:ind w:firstLine="0" w:firstLineChars="0"/>
        <w:jc w:val="left"/>
        <w:textAlignment w:val="auto"/>
        <w:rPr>
          <w:color w:val="auto"/>
          <w:highlight w:val="none"/>
        </w:rPr>
      </w:pPr>
      <w:r>
        <w:rPr>
          <w:rFonts w:hint="eastAsia" w:ascii="宋体" w:hAnsi="宋体"/>
          <w:color w:val="auto"/>
          <w:szCs w:val="21"/>
          <w:highlight w:val="none"/>
        </w:rPr>
        <w:t xml:space="preserve"> </w:t>
      </w:r>
      <w:r>
        <w:rPr>
          <w:rFonts w:hint="eastAsia"/>
          <w:color w:val="auto"/>
          <w:highlight w:val="none"/>
        </w:rPr>
        <w:t xml:space="preserve"> 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color w:val="auto"/>
          <w:highlight w:val="none"/>
        </w:rPr>
        <w:t xml:space="preserve">               </w:t>
      </w:r>
    </w:p>
    <w:p>
      <w:pPr>
        <w:pStyle w:val="2"/>
        <w:rPr>
          <w:color w:val="auto"/>
          <w:highlight w:val="none"/>
        </w:rPr>
      </w:pPr>
    </w:p>
    <w:tbl>
      <w:tblPr>
        <w:tblStyle w:val="29"/>
        <w:tblW w:w="96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149"/>
        <w:gridCol w:w="2287"/>
        <w:gridCol w:w="1414"/>
        <w:gridCol w:w="1486"/>
        <w:gridCol w:w="155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35" w:type="dxa"/>
            <w:noWrap w:val="0"/>
            <w:vAlign w:val="center"/>
          </w:tcPr>
          <w:p>
            <w:pPr>
              <w:rPr>
                <w:rFonts w:hint="eastAsia"/>
                <w:color w:val="auto"/>
                <w:highlight w:val="none"/>
              </w:rPr>
            </w:pPr>
            <w:r>
              <w:rPr>
                <w:rFonts w:hint="eastAsia"/>
                <w:color w:val="auto"/>
                <w:highlight w:val="none"/>
              </w:rPr>
              <w:t>序号</w:t>
            </w:r>
          </w:p>
        </w:tc>
        <w:tc>
          <w:tcPr>
            <w:tcW w:w="1149" w:type="dxa"/>
            <w:noWrap w:val="0"/>
            <w:vAlign w:val="center"/>
          </w:tcPr>
          <w:p>
            <w:pPr>
              <w:rPr>
                <w:rFonts w:hint="eastAsia"/>
                <w:color w:val="auto"/>
                <w:highlight w:val="none"/>
              </w:rPr>
            </w:pPr>
            <w:r>
              <w:rPr>
                <w:rFonts w:hint="eastAsia"/>
                <w:color w:val="auto"/>
                <w:highlight w:val="none"/>
              </w:rPr>
              <w:t>保险名称</w:t>
            </w:r>
          </w:p>
        </w:tc>
        <w:tc>
          <w:tcPr>
            <w:tcW w:w="2287" w:type="dxa"/>
            <w:noWrap w:val="0"/>
            <w:vAlign w:val="center"/>
          </w:tcPr>
          <w:p>
            <w:pPr>
              <w:jc w:val="center"/>
              <w:rPr>
                <w:rFonts w:hint="eastAsia"/>
                <w:color w:val="auto"/>
                <w:highlight w:val="none"/>
              </w:rPr>
            </w:pPr>
            <w:r>
              <w:rPr>
                <w:rFonts w:hint="eastAsia"/>
              </w:rPr>
              <w:t>免赔额</w:t>
            </w:r>
          </w:p>
        </w:tc>
        <w:tc>
          <w:tcPr>
            <w:tcW w:w="1414" w:type="dxa"/>
            <w:noWrap w:val="0"/>
            <w:vAlign w:val="center"/>
          </w:tcPr>
          <w:p>
            <w:pPr>
              <w:rPr>
                <w:rFonts w:hint="eastAsia"/>
                <w:color w:val="auto"/>
                <w:highlight w:val="none"/>
              </w:rPr>
            </w:pPr>
            <w:r>
              <w:rPr>
                <w:rFonts w:hint="eastAsia"/>
                <w:color w:val="auto"/>
                <w:highlight w:val="none"/>
              </w:rPr>
              <w:t>保额（</w:t>
            </w:r>
            <w:r>
              <w:rPr>
                <w:rFonts w:hint="eastAsia"/>
                <w:color w:val="auto"/>
                <w:highlight w:val="none"/>
                <w:lang w:eastAsia="zh-CN"/>
              </w:rPr>
              <w:t>万</w:t>
            </w:r>
            <w:r>
              <w:rPr>
                <w:rFonts w:hint="eastAsia"/>
                <w:color w:val="auto"/>
                <w:highlight w:val="none"/>
              </w:rPr>
              <w:t>元）</w:t>
            </w:r>
          </w:p>
        </w:tc>
        <w:tc>
          <w:tcPr>
            <w:tcW w:w="1486" w:type="dxa"/>
            <w:noWrap w:val="0"/>
            <w:vAlign w:val="center"/>
          </w:tcPr>
          <w:p>
            <w:pPr>
              <w:jc w:val="center"/>
              <w:rPr>
                <w:rFonts w:hint="eastAsia"/>
                <w:color w:val="auto"/>
                <w:highlight w:val="none"/>
              </w:rPr>
            </w:pPr>
            <w:r>
              <w:rPr>
                <w:rFonts w:hint="eastAsia"/>
                <w:color w:val="auto"/>
                <w:highlight w:val="none"/>
              </w:rPr>
              <w:t>费率（%）</w:t>
            </w:r>
          </w:p>
        </w:tc>
        <w:tc>
          <w:tcPr>
            <w:tcW w:w="1556" w:type="dxa"/>
            <w:noWrap w:val="0"/>
            <w:vAlign w:val="center"/>
          </w:tcPr>
          <w:p>
            <w:pPr>
              <w:jc w:val="center"/>
              <w:rPr>
                <w:rFonts w:hint="eastAsia"/>
                <w:color w:val="auto"/>
                <w:highlight w:val="none"/>
              </w:rPr>
            </w:pPr>
            <w:r>
              <w:rPr>
                <w:rFonts w:hint="eastAsia"/>
                <w:color w:val="auto"/>
                <w:highlight w:val="none"/>
              </w:rPr>
              <w:t>保费（元）</w:t>
            </w:r>
          </w:p>
        </w:tc>
        <w:tc>
          <w:tcPr>
            <w:tcW w:w="1136" w:type="dxa"/>
            <w:noWrap w:val="0"/>
            <w:vAlign w:val="center"/>
          </w:tcPr>
          <w:p>
            <w:pPr>
              <w:rPr>
                <w:rFonts w:hint="eastAsia"/>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635" w:type="dxa"/>
            <w:noWrap w:val="0"/>
            <w:vAlign w:val="center"/>
          </w:tcPr>
          <w:p>
            <w:pPr>
              <w:rPr>
                <w:rFonts w:hint="eastAsia"/>
                <w:color w:val="auto"/>
                <w:highlight w:val="none"/>
              </w:rPr>
            </w:pPr>
            <w:r>
              <w:rPr>
                <w:rFonts w:hint="eastAsia"/>
                <w:color w:val="auto"/>
                <w:highlight w:val="none"/>
              </w:rPr>
              <w:t>1</w:t>
            </w:r>
          </w:p>
        </w:tc>
        <w:tc>
          <w:tcPr>
            <w:tcW w:w="1149" w:type="dxa"/>
            <w:noWrap w:val="0"/>
            <w:vAlign w:val="center"/>
          </w:tcPr>
          <w:p>
            <w:pPr>
              <w:rPr>
                <w:rFonts w:hint="eastAsia"/>
                <w:color w:val="auto"/>
                <w:highlight w:val="none"/>
              </w:rPr>
            </w:pPr>
            <w:r>
              <w:rPr>
                <w:rFonts w:hint="eastAsia"/>
                <w:color w:val="auto"/>
                <w:highlight w:val="none"/>
              </w:rPr>
              <w:t>财产综合保险</w:t>
            </w:r>
          </w:p>
        </w:tc>
        <w:tc>
          <w:tcPr>
            <w:tcW w:w="2287" w:type="dxa"/>
            <w:noWrap w:val="0"/>
            <w:vAlign w:val="center"/>
          </w:tcPr>
          <w:p>
            <w:pPr>
              <w:jc w:val="left"/>
              <w:rPr>
                <w:rFonts w:hint="eastAsia" w:ascii="宋体" w:hAnsi="宋体" w:eastAsia="宋体" w:cs="宋体"/>
                <w:b/>
                <w:bCs/>
                <w:i w:val="0"/>
                <w:iCs w:val="0"/>
                <w:color w:val="auto"/>
                <w:sz w:val="21"/>
                <w:szCs w:val="21"/>
                <w:highlight w:val="none"/>
                <w:u w:val="none"/>
                <w:lang w:val="en-US" w:eastAsia="zh-CN"/>
              </w:rPr>
            </w:pPr>
            <w:r>
              <w:rPr>
                <w:rFonts w:hint="eastAsia" w:ascii="宋体" w:hAnsi="宋体" w:cs="宋体"/>
                <w:bCs/>
                <w:color w:val="auto"/>
                <w:szCs w:val="21"/>
                <w:highlight w:val="none"/>
              </w:rPr>
              <w:t>每次事故绝对免赔额为</w:t>
            </w:r>
            <w:r>
              <w:rPr>
                <w:rFonts w:hint="eastAsia" w:ascii="宋体" w:hAnsi="宋体" w:cs="宋体"/>
                <w:bCs/>
                <w:color w:val="auto"/>
                <w:szCs w:val="21"/>
                <w:highlight w:val="none"/>
                <w:lang w:val="en-US" w:eastAsia="zh-CN"/>
              </w:rPr>
              <w:t>5000.00</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或损失金额的</w:t>
            </w:r>
            <w:r>
              <w:rPr>
                <w:rFonts w:hint="eastAsia" w:ascii="宋体" w:hAnsi="宋体" w:cs="宋体"/>
                <w:bCs/>
                <w:color w:val="auto"/>
                <w:szCs w:val="21"/>
                <w:highlight w:val="none"/>
                <w:lang w:val="en-US" w:eastAsia="zh-CN"/>
              </w:rPr>
              <w:t>10%；两者以高者为准。</w:t>
            </w:r>
          </w:p>
        </w:tc>
        <w:tc>
          <w:tcPr>
            <w:tcW w:w="1414" w:type="dxa"/>
            <w:noWrap w:val="0"/>
            <w:vAlign w:val="center"/>
          </w:tcPr>
          <w:p>
            <w:pPr>
              <w:jc w:val="center"/>
              <w:rPr>
                <w:rFonts w:hint="eastAsia"/>
                <w:color w:val="auto"/>
                <w:highlight w:val="none"/>
              </w:rPr>
            </w:pPr>
            <w:r>
              <w:rPr>
                <w:rFonts w:hint="eastAsia" w:ascii="宋体" w:hAnsi="宋体" w:cs="宋体"/>
                <w:b/>
                <w:bCs w:val="0"/>
                <w:color w:val="auto"/>
                <w:szCs w:val="21"/>
                <w:highlight w:val="none"/>
                <w:lang w:val="en-US" w:eastAsia="zh-CN"/>
              </w:rPr>
              <w:t>7019.96</w:t>
            </w:r>
          </w:p>
        </w:tc>
        <w:tc>
          <w:tcPr>
            <w:tcW w:w="1486" w:type="dxa"/>
            <w:noWrap w:val="0"/>
            <w:vAlign w:val="center"/>
          </w:tcPr>
          <w:p>
            <w:pPr>
              <w:rPr>
                <w:rFonts w:hint="eastAsia"/>
                <w:color w:val="auto"/>
                <w:highlight w:val="none"/>
              </w:rPr>
            </w:pPr>
          </w:p>
        </w:tc>
        <w:tc>
          <w:tcPr>
            <w:tcW w:w="1556" w:type="dxa"/>
            <w:noWrap w:val="0"/>
            <w:vAlign w:val="center"/>
          </w:tcPr>
          <w:p>
            <w:pPr>
              <w:rPr>
                <w:rFonts w:hint="eastAsia"/>
                <w:color w:val="auto"/>
                <w:highlight w:val="none"/>
              </w:rPr>
            </w:pPr>
          </w:p>
        </w:tc>
        <w:tc>
          <w:tcPr>
            <w:tcW w:w="1136" w:type="dxa"/>
            <w:noWrap w:val="0"/>
            <w:vAlign w:val="center"/>
          </w:tcPr>
          <w:p>
            <w:pP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635" w:type="dxa"/>
            <w:noWrap w:val="0"/>
            <w:vAlign w:val="center"/>
          </w:tcPr>
          <w:p>
            <w:pPr>
              <w:rPr>
                <w:rFonts w:hint="eastAsia"/>
                <w:color w:val="auto"/>
                <w:highlight w:val="none"/>
              </w:rPr>
            </w:pPr>
            <w:r>
              <w:rPr>
                <w:rFonts w:hint="eastAsia"/>
                <w:color w:val="auto"/>
                <w:highlight w:val="none"/>
              </w:rPr>
              <w:t>2</w:t>
            </w:r>
          </w:p>
        </w:tc>
        <w:tc>
          <w:tcPr>
            <w:tcW w:w="1149" w:type="dxa"/>
            <w:noWrap w:val="0"/>
            <w:vAlign w:val="center"/>
          </w:tcPr>
          <w:p>
            <w:pPr>
              <w:rPr>
                <w:rFonts w:hint="eastAsia"/>
                <w:color w:val="auto"/>
                <w:highlight w:val="none"/>
              </w:rPr>
            </w:pPr>
            <w:r>
              <w:rPr>
                <w:rFonts w:hint="eastAsia"/>
                <w:color w:val="auto"/>
                <w:highlight w:val="none"/>
              </w:rPr>
              <w:t>机器设备损坏保险</w:t>
            </w:r>
          </w:p>
        </w:tc>
        <w:tc>
          <w:tcPr>
            <w:tcW w:w="2287" w:type="dxa"/>
            <w:noWrap w:val="0"/>
            <w:vAlign w:val="center"/>
          </w:tcPr>
          <w:p>
            <w:pPr>
              <w:jc w:val="left"/>
              <w:rPr>
                <w:rFonts w:hint="eastAsia" w:ascii="宋体" w:hAnsi="宋体" w:eastAsia="宋体" w:cs="宋体"/>
                <w:b/>
                <w:bCs/>
                <w:i w:val="0"/>
                <w:iCs w:val="0"/>
                <w:color w:val="auto"/>
                <w:sz w:val="21"/>
                <w:szCs w:val="21"/>
                <w:highlight w:val="none"/>
                <w:u w:val="none"/>
                <w:lang w:val="en-US" w:eastAsia="zh-CN"/>
              </w:rPr>
            </w:pPr>
            <w:r>
              <w:rPr>
                <w:rFonts w:hint="eastAsia" w:ascii="宋体" w:hAnsi="宋体" w:cs="宋体"/>
                <w:bCs/>
                <w:color w:val="auto"/>
                <w:szCs w:val="21"/>
                <w:highlight w:val="none"/>
              </w:rPr>
              <w:t>每次事故绝对免赔额为</w:t>
            </w:r>
            <w:r>
              <w:rPr>
                <w:rFonts w:hint="eastAsia" w:ascii="宋体" w:hAnsi="宋体" w:cs="宋体"/>
                <w:bCs/>
                <w:color w:val="auto"/>
                <w:szCs w:val="21"/>
                <w:highlight w:val="none"/>
                <w:lang w:val="en-US" w:eastAsia="zh-CN"/>
              </w:rPr>
              <w:t>5000.00</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或损失金额的</w:t>
            </w:r>
            <w:r>
              <w:rPr>
                <w:rFonts w:hint="eastAsia" w:ascii="宋体" w:hAnsi="宋体" w:cs="宋体"/>
                <w:bCs/>
                <w:color w:val="auto"/>
                <w:szCs w:val="21"/>
                <w:highlight w:val="none"/>
                <w:lang w:val="en-US" w:eastAsia="zh-CN"/>
              </w:rPr>
              <w:t>10%；两者以高者为准。</w:t>
            </w:r>
          </w:p>
        </w:tc>
        <w:tc>
          <w:tcPr>
            <w:tcW w:w="1414" w:type="dxa"/>
            <w:noWrap w:val="0"/>
            <w:vAlign w:val="center"/>
          </w:tcPr>
          <w:p>
            <w:pPr>
              <w:jc w:val="center"/>
              <w:rPr>
                <w:rFonts w:hint="eastAsia"/>
                <w:color w:val="auto"/>
                <w:highlight w:val="none"/>
              </w:rPr>
            </w:pPr>
            <w:r>
              <w:rPr>
                <w:rFonts w:hint="eastAsia" w:ascii="宋体" w:hAnsi="宋体" w:cs="宋体"/>
                <w:b/>
                <w:bCs w:val="0"/>
                <w:color w:val="auto"/>
                <w:szCs w:val="21"/>
                <w:highlight w:val="none"/>
                <w:lang w:val="en-US" w:eastAsia="zh-CN"/>
              </w:rPr>
              <w:t>7019.96</w:t>
            </w:r>
          </w:p>
        </w:tc>
        <w:tc>
          <w:tcPr>
            <w:tcW w:w="1486" w:type="dxa"/>
            <w:noWrap w:val="0"/>
            <w:vAlign w:val="center"/>
          </w:tcPr>
          <w:p>
            <w:pPr>
              <w:rPr>
                <w:rFonts w:hint="eastAsia"/>
                <w:color w:val="auto"/>
                <w:highlight w:val="none"/>
              </w:rPr>
            </w:pPr>
          </w:p>
        </w:tc>
        <w:tc>
          <w:tcPr>
            <w:tcW w:w="1556" w:type="dxa"/>
            <w:noWrap w:val="0"/>
            <w:vAlign w:val="center"/>
          </w:tcPr>
          <w:p>
            <w:pPr>
              <w:rPr>
                <w:rFonts w:hint="eastAsia"/>
                <w:color w:val="auto"/>
                <w:highlight w:val="none"/>
              </w:rPr>
            </w:pPr>
          </w:p>
        </w:tc>
        <w:tc>
          <w:tcPr>
            <w:tcW w:w="1136" w:type="dxa"/>
            <w:noWrap w:val="0"/>
            <w:vAlign w:val="center"/>
          </w:tcPr>
          <w:p>
            <w:pPr>
              <w:rPr>
                <w:rFonts w:hint="eastAsia"/>
                <w:color w:val="auto"/>
                <w:highlight w:val="none"/>
              </w:rPr>
            </w:pPr>
          </w:p>
        </w:tc>
      </w:tr>
    </w:tbl>
    <w:p>
      <w:pPr>
        <w:adjustRightInd w:val="0"/>
        <w:snapToGrid w:val="0"/>
        <w:spacing w:line="360" w:lineRule="auto"/>
        <w:ind w:left="-88" w:leftChars="-42"/>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说明：</w:t>
      </w:r>
    </w:p>
    <w:p>
      <w:pPr>
        <w:numPr>
          <w:ilvl w:val="0"/>
          <w:numId w:val="5"/>
        </w:numPr>
        <w:adjustRightInd w:val="0"/>
        <w:snapToGrid w:val="0"/>
        <w:spacing w:line="360" w:lineRule="auto"/>
        <w:ind w:left="210" w:leftChars="0" w:firstLine="0" w:firstLineChars="0"/>
        <w:rPr>
          <w:rFonts w:hint="eastAsia" w:ascii="仿宋_GB2312" w:hAnsi="宋体" w:eastAsia="仿宋_GB2312"/>
          <w:color w:val="auto"/>
          <w:szCs w:val="21"/>
          <w:highlight w:val="none"/>
          <w:lang w:eastAsia="zh-CN"/>
        </w:rPr>
      </w:pPr>
      <w:r>
        <w:rPr>
          <w:rFonts w:hint="eastAsia" w:ascii="仿宋_GB2312" w:hAnsi="宋体" w:eastAsia="仿宋_GB2312"/>
          <w:color w:val="auto"/>
          <w:szCs w:val="21"/>
          <w:highlight w:val="none"/>
        </w:rPr>
        <w:t>本表包含采购文件第四章《采购需求》或其他部分对该项目所有要求的详细报价。应包含隐含的管理费、税金和利润等其他费用</w:t>
      </w:r>
      <w:r>
        <w:rPr>
          <w:rFonts w:hint="eastAsia" w:ascii="仿宋_GB2312" w:hAnsi="宋体" w:eastAsia="仿宋_GB2312"/>
          <w:color w:val="auto"/>
          <w:szCs w:val="21"/>
          <w:highlight w:val="none"/>
          <w:lang w:eastAsia="zh-CN"/>
        </w:rPr>
        <w:t>。</w:t>
      </w:r>
    </w:p>
    <w:p>
      <w:pPr>
        <w:numPr>
          <w:ilvl w:val="0"/>
          <w:numId w:val="5"/>
        </w:numPr>
        <w:adjustRightInd w:val="0"/>
        <w:snapToGrid w:val="0"/>
        <w:spacing w:line="360" w:lineRule="auto"/>
        <w:ind w:left="210" w:leftChars="0" w:firstLine="0" w:firstLineChars="0"/>
        <w:rPr>
          <w:rFonts w:hint="eastAsia" w:ascii="仿宋_GB2312" w:hAnsi="宋体" w:eastAsia="仿宋_GB2312"/>
          <w:color w:val="auto"/>
          <w:szCs w:val="21"/>
          <w:highlight w:val="none"/>
        </w:rPr>
      </w:pPr>
      <w:r>
        <w:rPr>
          <w:rFonts w:hint="eastAsia" w:ascii="仿宋_GB2312" w:hAnsi="宋体" w:eastAsia="仿宋_GB2312"/>
          <w:color w:val="auto"/>
          <w:szCs w:val="21"/>
          <w:highlight w:val="none"/>
        </w:rPr>
        <w:t>本次投标报价采用保险费率方式，任何一个投标人只能报一个投标保险费率，结算金额=标的物实际评估价×投标保险费率。</w:t>
      </w:r>
    </w:p>
    <w:p>
      <w:pPr>
        <w:pStyle w:val="2"/>
        <w:numPr>
          <w:ilvl w:val="0"/>
          <w:numId w:val="0"/>
        </w:numPr>
        <w:ind w:left="210" w:leftChars="0"/>
        <w:rPr>
          <w:rFonts w:hint="eastAsia"/>
          <w:color w:val="auto"/>
          <w:highlight w:val="none"/>
          <w:lang w:eastAsia="zh-CN"/>
        </w:rPr>
      </w:pPr>
      <w:bookmarkStart w:id="16" w:name="_GoBack"/>
      <w:bookmarkEnd w:id="16"/>
    </w:p>
    <w:p>
      <w:pPr>
        <w:adjustRightInd w:val="0"/>
        <w:snapToGrid w:val="0"/>
        <w:spacing w:line="360" w:lineRule="auto"/>
        <w:rPr>
          <w:rFonts w:hint="eastAsia" w:ascii="宋体" w:hAnsi="宋体"/>
          <w:color w:val="auto"/>
          <w:szCs w:val="21"/>
          <w:highlight w:val="none"/>
        </w:rPr>
      </w:pP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供应商（盖单位章）：</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法定代表人或其委托代理人签字：</w:t>
      </w:r>
      <w:r>
        <w:rPr>
          <w:rFonts w:hint="eastAsia" w:ascii="宋体" w:hAnsi="宋体"/>
          <w:color w:val="auto"/>
          <w:szCs w:val="21"/>
          <w:highlight w:val="none"/>
          <w:u w:val="single"/>
        </w:rPr>
        <w:t xml:space="preserve">       </w:t>
      </w:r>
    </w:p>
    <w:p>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djustRightInd w:val="0"/>
        <w:snapToGrid w:val="0"/>
        <w:spacing w:line="360" w:lineRule="auto"/>
        <w:rPr>
          <w:rFonts w:hint="eastAsia" w:ascii="黑体" w:eastAsia="黑体"/>
          <w:b/>
          <w:color w:val="auto"/>
          <w:sz w:val="32"/>
          <w:szCs w:val="32"/>
          <w:highlight w:val="none"/>
        </w:rPr>
        <w:sectPr>
          <w:footerReference r:id="rId7" w:type="default"/>
          <w:pgSz w:w="11906" w:h="16838"/>
          <w:pgMar w:top="1440" w:right="1468" w:bottom="1440" w:left="1803" w:header="851" w:footer="992" w:gutter="0"/>
          <w:pgNumType w:fmt="decimal"/>
          <w:cols w:space="0" w:num="1"/>
          <w:rtlGutter w:val="0"/>
          <w:docGrid w:type="lines" w:linePitch="317" w:charSpace="0"/>
        </w:sectPr>
      </w:pPr>
    </w:p>
    <w:p>
      <w:pPr>
        <w:adjustRightInd w:val="0"/>
        <w:snapToGrid w:val="0"/>
        <w:spacing w:line="360" w:lineRule="auto"/>
        <w:jc w:val="center"/>
        <w:rPr>
          <w:rFonts w:hint="eastAsia" w:ascii="黑体" w:hAnsi="宋体" w:eastAsia="黑体"/>
          <w:color w:val="auto"/>
          <w:sz w:val="28"/>
          <w:szCs w:val="28"/>
          <w:highlight w:val="none"/>
        </w:rPr>
      </w:pPr>
      <w:r>
        <w:rPr>
          <w:rFonts w:hint="eastAsia" w:ascii="黑体" w:eastAsia="黑体"/>
          <w:b/>
          <w:color w:val="auto"/>
          <w:sz w:val="32"/>
          <w:szCs w:val="32"/>
          <w:highlight w:val="none"/>
          <w:lang w:eastAsia="zh-CN"/>
        </w:rPr>
        <w:t>七</w:t>
      </w:r>
      <w:r>
        <w:rPr>
          <w:rFonts w:hint="eastAsia" w:ascii="黑体" w:eastAsia="黑体"/>
          <w:b/>
          <w:bCs/>
          <w:color w:val="auto"/>
          <w:sz w:val="32"/>
          <w:szCs w:val="32"/>
          <w:highlight w:val="none"/>
        </w:rPr>
        <w:t>、供应商认为需要提供的其它资料</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tabs>
          <w:tab w:val="left" w:pos="2110"/>
        </w:tabs>
        <w:rPr>
          <w:rFonts w:hint="eastAsia"/>
          <w:color w:val="auto"/>
          <w:highlight w:val="none"/>
        </w:rPr>
      </w:pPr>
      <w:r>
        <w:rPr>
          <w:color w:val="auto"/>
          <w:highlight w:val="none"/>
        </w:rPr>
        <w:tab/>
      </w: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pStyle w:val="47"/>
        <w:rPr>
          <w:color w:val="auto"/>
          <w:highlight w:val="none"/>
        </w:rPr>
      </w:pPr>
    </w:p>
    <w:p>
      <w:pPr>
        <w:rPr>
          <w:color w:val="auto"/>
          <w:highlight w:val="none"/>
        </w:rPr>
      </w:pPr>
    </w:p>
    <w:p>
      <w:pPr>
        <w:rPr>
          <w:color w:val="auto"/>
          <w:highlight w:val="none"/>
        </w:rPr>
      </w:pPr>
    </w:p>
    <w:sectPr>
      <w:footerReference r:id="rId8" w:type="default"/>
      <w:pgSz w:w="11906" w:h="16838"/>
      <w:pgMar w:top="1440" w:right="1468"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8"/>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alibri Light">
    <w:altName w:val="Calibri"/>
    <w:panose1 w:val="020F0302020204030204"/>
    <w:charset w:val="00"/>
    <w:family w:val="auto"/>
    <w:pitch w:val="default"/>
    <w:sig w:usb0="00000000" w:usb1="00000000"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0F3C52"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idowControl/>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tabs>
        <w:tab w:val="clear" w:pos="8306"/>
      </w:tabs>
      <w:ind w:right="565" w:rightChars="269"/>
      <w:rPr>
        <w:rFonts w:hint="default" w:eastAsia="宋体"/>
        <w:u w:val="non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AB949"/>
    <w:multiLevelType w:val="singleLevel"/>
    <w:tmpl w:val="90DAB949"/>
    <w:lvl w:ilvl="0" w:tentative="0">
      <w:start w:val="2"/>
      <w:numFmt w:val="chineseCounting"/>
      <w:suff w:val="space"/>
      <w:lvlText w:val="第%1章"/>
      <w:lvlJc w:val="left"/>
      <w:rPr>
        <w:rFonts w:hint="eastAsia"/>
      </w:rPr>
    </w:lvl>
  </w:abstractNum>
  <w:abstractNum w:abstractNumId="1">
    <w:nsid w:val="171657A1"/>
    <w:multiLevelType w:val="multilevel"/>
    <w:tmpl w:val="171657A1"/>
    <w:lvl w:ilvl="0" w:tentative="0">
      <w:start w:val="1"/>
      <w:numFmt w:val="decimal"/>
      <w:suff w:val="nothing"/>
      <w:lvlText w:val="%1 "/>
      <w:lvlJc w:val="left"/>
      <w:pPr>
        <w:ind w:left="964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142" w:firstLine="0"/>
      </w:pPr>
      <w:rPr>
        <w:rFonts w:hint="default" w:ascii="Book Antiqua" w:hAnsi="Book Antiqua" w:eastAsia="黑体" w:cs="Book Antiqua"/>
        <w:b w:val="0"/>
        <w:bCs/>
        <w:i w:val="0"/>
        <w:iCs w:val="0"/>
        <w:caps w:val="0"/>
        <w:strike w:val="0"/>
        <w:dstrike w:val="0"/>
        <w:snapToGrid w:val="0"/>
        <w:vanish w:val="0"/>
        <w:spacing w:val="0"/>
        <w:kern w:val="0"/>
        <w:sz w:val="36"/>
        <w:szCs w:val="36"/>
        <w:vertAlign w:val="baseline"/>
      </w:rPr>
    </w:lvl>
    <w:lvl w:ilvl="2" w:tentative="0">
      <w:start w:val="1"/>
      <w:numFmt w:val="decimal"/>
      <w:suff w:val="nothing"/>
      <w:lvlText w:val="%1.%2.%3 "/>
      <w:lvlJc w:val="left"/>
      <w:pPr>
        <w:ind w:left="710" w:firstLine="0"/>
      </w:pPr>
      <w:rPr>
        <w:rFonts w:hint="default" w:ascii="Book Antiqua" w:hAnsi="Book Antiqua" w:eastAsia="黑体" w:cs="Book Antiqua"/>
        <w:b w:val="0"/>
        <w:bCs/>
        <w:i w:val="0"/>
        <w:iCs w:val="0"/>
        <w:caps w:val="0"/>
        <w:strike w:val="0"/>
        <w:dstrike w:val="0"/>
        <w:snapToGrid w:val="0"/>
        <w:vanish w:val="0"/>
        <w:kern w:val="0"/>
        <w:sz w:val="32"/>
        <w:szCs w:val="32"/>
        <w:vertAlign w:val="baseline"/>
      </w:rPr>
    </w:lvl>
    <w:lvl w:ilvl="3" w:tentative="0">
      <w:start w:val="1"/>
      <w:numFmt w:val="decimal"/>
      <w:pStyle w:val="8"/>
      <w:suff w:val="nothing"/>
      <w:lvlText w:val="%1.%2.%3.%4 "/>
      <w:lvlJc w:val="left"/>
      <w:pPr>
        <w:ind w:left="0" w:firstLine="0"/>
      </w:pPr>
      <w:rPr>
        <w:rFonts w:hint="default" w:ascii="Book Antiqua" w:hAnsi="Book Antiqua" w:eastAsia="黑体" w:cs="Book Antiqua"/>
        <w:bCs/>
        <w:i w:val="0"/>
        <w:iCs w:val="0"/>
        <w:caps w:val="0"/>
        <w:strike w:val="0"/>
        <w:dstrike w:val="0"/>
        <w:vanish w:val="0"/>
        <w:sz w:val="28"/>
        <w:szCs w:val="28"/>
        <w:vertAlign w:val="baseline"/>
      </w:rPr>
    </w:lvl>
    <w:lvl w:ilvl="4" w:tentative="0">
      <w:start w:val="1"/>
      <w:numFmt w:val="decimal"/>
      <w:pStyle w:val="9"/>
      <w:suff w:val="nothing"/>
      <w:lvlText w:val="%1.%2.%3.%4.%5 "/>
      <w:lvlJc w:val="left"/>
      <w:pPr>
        <w:ind w:left="0" w:firstLine="0"/>
      </w:pPr>
      <w:rPr>
        <w:rFonts w:hint="default" w:ascii="Book Antiqua" w:hAnsi="Book Antiqua" w:eastAsia="黑体" w:cs="Book Antiqua"/>
        <w:bCs/>
        <w:i w:val="0"/>
        <w:iCs w:val="0"/>
        <w:caps w:val="0"/>
        <w:strike w:val="0"/>
        <w:dstrike w:val="0"/>
        <w:vanish w:val="0"/>
        <w:sz w:val="24"/>
        <w:szCs w:val="24"/>
        <w:vertAlign w:val="baseline"/>
      </w:rPr>
    </w:lvl>
    <w:lvl w:ilvl="5" w:tentative="0">
      <w:start w:val="1"/>
      <w:numFmt w:val="decimal"/>
      <w:lvlText w:val="步骤 %6"/>
      <w:lvlJc w:val="right"/>
      <w:pPr>
        <w:tabs>
          <w:tab w:val="left" w:pos="1701"/>
        </w:tabs>
        <w:ind w:left="1701" w:hanging="159"/>
      </w:pPr>
      <w:rPr>
        <w:rFonts w:hint="default" w:ascii="Book Antiqua" w:hAnsi="Book Antiqua" w:eastAsia="黑体" w:cs="Arial"/>
        <w:b w:val="0"/>
        <w:bCs/>
        <w:i w:val="0"/>
        <w:iCs w:val="0"/>
        <w:caps w:val="0"/>
        <w:strike w:val="0"/>
        <w:dstrike w:val="0"/>
        <w:vanish w:val="0"/>
        <w:color w:val="auto"/>
        <w:sz w:val="21"/>
        <w:szCs w:val="20"/>
        <w:vertAlign w:val="baseline"/>
      </w:rPr>
    </w:lvl>
    <w:lvl w:ilvl="6" w:tentative="0">
      <w:start w:val="1"/>
      <w:numFmt w:val="decimal"/>
      <w:lvlText w:val="%7"/>
      <w:lvlJc w:val="left"/>
      <w:pPr>
        <w:tabs>
          <w:tab w:val="left" w:pos="2126"/>
        </w:tabs>
        <w:ind w:left="2126" w:hanging="425"/>
      </w:pPr>
      <w:rPr>
        <w:rFonts w:hint="default" w:ascii="Book Antiqua" w:hAnsi="Book Antiqua" w:eastAsia="黑体" w:cs="Times New Roman"/>
        <w:b w:val="0"/>
        <w:bCs/>
        <w:i w:val="0"/>
        <w:iCs w:val="0"/>
        <w:color w:val="auto"/>
        <w:sz w:val="21"/>
        <w:szCs w:val="21"/>
      </w:rPr>
    </w:lvl>
    <w:lvl w:ilvl="7" w:tentative="0">
      <w:start w:val="1"/>
      <w:numFmt w:val="decimal"/>
      <w:lvlRestart w:val="1"/>
      <w:suff w:val="space"/>
      <w:lvlText w:val="图%1-%8"/>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8" w:tentative="0">
      <w:start w:val="1"/>
      <w:numFmt w:val="decimal"/>
      <w:lvlRestart w:val="1"/>
      <w:suff w:val="space"/>
      <w:lvlText w:val="表%1-%9"/>
      <w:lvlJc w:val="left"/>
      <w:pPr>
        <w:ind w:left="1702" w:firstLine="0"/>
      </w:pPr>
      <w:rPr>
        <w:rFonts w:hint="default" w:ascii="Times New Roman" w:hAnsi="Times New Roman" w:eastAsia="黑体"/>
        <w:b w:val="0"/>
        <w:bCs/>
        <w:i w:val="0"/>
        <w:iCs w:val="0"/>
        <w:color w:val="auto"/>
        <w:sz w:val="21"/>
        <w:szCs w:val="21"/>
      </w:rPr>
    </w:lvl>
  </w:abstractNum>
  <w:abstractNum w:abstractNumId="2">
    <w:nsid w:val="1A997DE6"/>
    <w:multiLevelType w:val="singleLevel"/>
    <w:tmpl w:val="1A997DE6"/>
    <w:lvl w:ilvl="0" w:tentative="0">
      <w:start w:val="1"/>
      <w:numFmt w:val="chineseCounting"/>
      <w:suff w:val="space"/>
      <w:lvlText w:val="第%1章"/>
      <w:lvlJc w:val="left"/>
      <w:rPr>
        <w:rFonts w:hint="eastAsia"/>
      </w:rPr>
    </w:lvl>
  </w:abstractNum>
  <w:abstractNum w:abstractNumId="3">
    <w:nsid w:val="22B10417"/>
    <w:multiLevelType w:val="singleLevel"/>
    <w:tmpl w:val="22B10417"/>
    <w:lvl w:ilvl="0" w:tentative="0">
      <w:start w:val="1"/>
      <w:numFmt w:val="decimal"/>
      <w:suff w:val="nothing"/>
      <w:lvlText w:val="%1、"/>
      <w:lvlJc w:val="left"/>
      <w:pPr>
        <w:ind w:left="210" w:leftChars="0" w:firstLine="0" w:firstLineChars="0"/>
      </w:pPr>
    </w:lvl>
  </w:abstractNum>
  <w:abstractNum w:abstractNumId="4">
    <w:nsid w:val="3A1AD804"/>
    <w:multiLevelType w:val="singleLevel"/>
    <w:tmpl w:val="3A1AD80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Tg4ZTAxYjVlNGU5NTZhMmE4MTQ5ZDQ0ZDUyZDMifQ=="/>
  </w:docVars>
  <w:rsids>
    <w:rsidRoot w:val="1A7E495A"/>
    <w:rsid w:val="01B23B59"/>
    <w:rsid w:val="04214AE7"/>
    <w:rsid w:val="0427370A"/>
    <w:rsid w:val="05432019"/>
    <w:rsid w:val="05B4645B"/>
    <w:rsid w:val="07AF4978"/>
    <w:rsid w:val="088C5662"/>
    <w:rsid w:val="09D35DC0"/>
    <w:rsid w:val="0AB71FE3"/>
    <w:rsid w:val="0B6D357F"/>
    <w:rsid w:val="0CFA7697"/>
    <w:rsid w:val="0DB90413"/>
    <w:rsid w:val="0DD97187"/>
    <w:rsid w:val="0E6F284D"/>
    <w:rsid w:val="0FE5344B"/>
    <w:rsid w:val="1055392C"/>
    <w:rsid w:val="1067321E"/>
    <w:rsid w:val="107108CB"/>
    <w:rsid w:val="11753AFA"/>
    <w:rsid w:val="124C1989"/>
    <w:rsid w:val="126A75AC"/>
    <w:rsid w:val="14100C7D"/>
    <w:rsid w:val="16B46DC7"/>
    <w:rsid w:val="16DF7631"/>
    <w:rsid w:val="175E0FA1"/>
    <w:rsid w:val="1769711F"/>
    <w:rsid w:val="1A75023C"/>
    <w:rsid w:val="1A7E495A"/>
    <w:rsid w:val="1AC46F44"/>
    <w:rsid w:val="1B93211F"/>
    <w:rsid w:val="1BCC6EFE"/>
    <w:rsid w:val="1C163569"/>
    <w:rsid w:val="1D565126"/>
    <w:rsid w:val="1DB30B8E"/>
    <w:rsid w:val="1EB77FD6"/>
    <w:rsid w:val="21B46321"/>
    <w:rsid w:val="21E32C20"/>
    <w:rsid w:val="24E94ECB"/>
    <w:rsid w:val="252C48BC"/>
    <w:rsid w:val="256F784A"/>
    <w:rsid w:val="26491421"/>
    <w:rsid w:val="26C55706"/>
    <w:rsid w:val="274C2D71"/>
    <w:rsid w:val="28D2728B"/>
    <w:rsid w:val="29A17B34"/>
    <w:rsid w:val="2AD5342E"/>
    <w:rsid w:val="2BD445B5"/>
    <w:rsid w:val="2D531948"/>
    <w:rsid w:val="2E164603"/>
    <w:rsid w:val="2E903C71"/>
    <w:rsid w:val="3001641C"/>
    <w:rsid w:val="30110C91"/>
    <w:rsid w:val="32B23DE2"/>
    <w:rsid w:val="33112955"/>
    <w:rsid w:val="34012617"/>
    <w:rsid w:val="347D05F8"/>
    <w:rsid w:val="35AF3BFC"/>
    <w:rsid w:val="36B257C2"/>
    <w:rsid w:val="36CC5467"/>
    <w:rsid w:val="37000B98"/>
    <w:rsid w:val="395364FF"/>
    <w:rsid w:val="398A6480"/>
    <w:rsid w:val="3A3E0A25"/>
    <w:rsid w:val="3A8B0C24"/>
    <w:rsid w:val="3AF602F7"/>
    <w:rsid w:val="3D58466A"/>
    <w:rsid w:val="3E575B06"/>
    <w:rsid w:val="3E67165F"/>
    <w:rsid w:val="41BA0F3F"/>
    <w:rsid w:val="42BD202E"/>
    <w:rsid w:val="43CE5A1E"/>
    <w:rsid w:val="45BA4131"/>
    <w:rsid w:val="45DD2362"/>
    <w:rsid w:val="45F86912"/>
    <w:rsid w:val="46123D33"/>
    <w:rsid w:val="47085E39"/>
    <w:rsid w:val="476C36C2"/>
    <w:rsid w:val="483156E3"/>
    <w:rsid w:val="489B227E"/>
    <w:rsid w:val="4994105B"/>
    <w:rsid w:val="49E10C2B"/>
    <w:rsid w:val="49F53C58"/>
    <w:rsid w:val="4A9D1086"/>
    <w:rsid w:val="4AF37C4C"/>
    <w:rsid w:val="4D1858C3"/>
    <w:rsid w:val="4D711256"/>
    <w:rsid w:val="4EA5665D"/>
    <w:rsid w:val="4ED923AD"/>
    <w:rsid w:val="4F35787C"/>
    <w:rsid w:val="52CE189B"/>
    <w:rsid w:val="534F429F"/>
    <w:rsid w:val="53E839D2"/>
    <w:rsid w:val="54A63C01"/>
    <w:rsid w:val="55890CAA"/>
    <w:rsid w:val="55BF7E46"/>
    <w:rsid w:val="5652337C"/>
    <w:rsid w:val="57BB028C"/>
    <w:rsid w:val="57FE0086"/>
    <w:rsid w:val="59E961C0"/>
    <w:rsid w:val="59F9567C"/>
    <w:rsid w:val="5BAC1C61"/>
    <w:rsid w:val="5C2C0DF7"/>
    <w:rsid w:val="5C4C76B4"/>
    <w:rsid w:val="5DEC1B92"/>
    <w:rsid w:val="5E0A4349"/>
    <w:rsid w:val="5F235FB3"/>
    <w:rsid w:val="5FBB4B50"/>
    <w:rsid w:val="5FC3487B"/>
    <w:rsid w:val="604128FE"/>
    <w:rsid w:val="6212564E"/>
    <w:rsid w:val="622A4793"/>
    <w:rsid w:val="63011D03"/>
    <w:rsid w:val="63A06F21"/>
    <w:rsid w:val="6467670B"/>
    <w:rsid w:val="6571540D"/>
    <w:rsid w:val="65D11AF7"/>
    <w:rsid w:val="666835F7"/>
    <w:rsid w:val="69476DB6"/>
    <w:rsid w:val="69932B4B"/>
    <w:rsid w:val="6BFB0BFF"/>
    <w:rsid w:val="6D3A5994"/>
    <w:rsid w:val="6E0D548A"/>
    <w:rsid w:val="6E546C15"/>
    <w:rsid w:val="6EF10D72"/>
    <w:rsid w:val="70685120"/>
    <w:rsid w:val="71BF68C9"/>
    <w:rsid w:val="728F0348"/>
    <w:rsid w:val="72F96C1E"/>
    <w:rsid w:val="73FD262D"/>
    <w:rsid w:val="74B564DC"/>
    <w:rsid w:val="75010B14"/>
    <w:rsid w:val="78DF32E9"/>
    <w:rsid w:val="7B4B3915"/>
    <w:rsid w:val="7B572516"/>
    <w:rsid w:val="7B5F6DF6"/>
    <w:rsid w:val="7B751861"/>
    <w:rsid w:val="7C8C225E"/>
    <w:rsid w:val="7D3C6251"/>
    <w:rsid w:val="7F6A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1"/>
    <w:qFormat/>
    <w:uiPriority w:val="0"/>
    <w:pPr>
      <w:keepNext/>
      <w:jc w:val="center"/>
      <w:outlineLvl w:val="0"/>
    </w:pPr>
    <w:rPr>
      <w:b/>
      <w:bCs/>
      <w:sz w:val="24"/>
      <w:szCs w:val="20"/>
    </w:rPr>
  </w:style>
  <w:style w:type="paragraph" w:styleId="6">
    <w:name w:val="heading 2"/>
    <w:basedOn w:val="1"/>
    <w:next w:val="1"/>
    <w:link w:val="72"/>
    <w:qFormat/>
    <w:uiPriority w:val="9"/>
    <w:pPr>
      <w:keepNext/>
      <w:keepLines/>
      <w:spacing w:line="360" w:lineRule="auto"/>
      <w:outlineLvl w:val="1"/>
    </w:pPr>
    <w:rPr>
      <w:rFonts w:ascii="Arial" w:hAnsi="Arial"/>
      <w:sz w:val="24"/>
      <w:szCs w:val="32"/>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numPr>
        <w:ilvl w:val="3"/>
        <w:numId w:val="1"/>
      </w:numPr>
      <w:outlineLvl w:val="3"/>
    </w:pPr>
    <w:rPr>
      <w:rFonts w:ascii="Book Antiqua" w:hAnsi="Book Antiqua" w:eastAsia="黑体" w:cs="Times New Roman"/>
      <w:kern w:val="0"/>
      <w:sz w:val="28"/>
      <w:szCs w:val="28"/>
    </w:rPr>
  </w:style>
  <w:style w:type="paragraph" w:styleId="9">
    <w:name w:val="heading 5"/>
    <w:basedOn w:val="1"/>
    <w:next w:val="1"/>
    <w:qFormat/>
    <w:uiPriority w:val="0"/>
    <w:pPr>
      <w:keepNext/>
      <w:keepLines/>
      <w:numPr>
        <w:ilvl w:val="4"/>
        <w:numId w:val="1"/>
      </w:numPr>
      <w:outlineLvl w:val="4"/>
    </w:pPr>
    <w:rPr>
      <w:rFonts w:ascii="Book Antiqua" w:hAnsi="Book Antiqua" w:eastAsia="黑体" w:cs="Times New Roman"/>
      <w:kern w:val="0"/>
      <w:sz w:val="24"/>
      <w:szCs w:val="24"/>
    </w:rPr>
  </w:style>
  <w:style w:type="paragraph" w:styleId="10">
    <w:name w:val="heading 6"/>
    <w:basedOn w:val="1"/>
    <w:next w:val="1"/>
    <w:qFormat/>
    <w:uiPriority w:val="0"/>
    <w:pPr>
      <w:keepNext/>
      <w:keepLines/>
      <w:spacing w:before="240" w:beforeLines="0" w:after="64" w:afterLines="0" w:line="320" w:lineRule="auto"/>
      <w:outlineLvl w:val="5"/>
    </w:pPr>
    <w:rPr>
      <w:rFonts w:ascii="Arial" w:hAnsi="Arial" w:eastAsia="黑体"/>
      <w:b/>
      <w:bCs/>
      <w:sz w:val="24"/>
      <w:szCs w:val="24"/>
    </w:rPr>
  </w:style>
  <w:style w:type="paragraph" w:styleId="11">
    <w:name w:val="heading 7"/>
    <w:basedOn w:val="1"/>
    <w:next w:val="1"/>
    <w:qFormat/>
    <w:uiPriority w:val="0"/>
    <w:pPr>
      <w:keepNext/>
      <w:keepLines/>
      <w:spacing w:before="240" w:beforeLines="0" w:after="64" w:afterLines="0" w:line="320" w:lineRule="auto"/>
      <w:outlineLvl w:val="6"/>
    </w:pPr>
    <w:rPr>
      <w:b/>
      <w:bCs/>
      <w:sz w:val="24"/>
      <w:szCs w:val="24"/>
    </w:rPr>
  </w:style>
  <w:style w:type="paragraph" w:styleId="12">
    <w:name w:val="heading 8"/>
    <w:basedOn w:val="1"/>
    <w:next w:val="1"/>
    <w:qFormat/>
    <w:uiPriority w:val="0"/>
    <w:pPr>
      <w:keepNext/>
      <w:keepLines/>
      <w:spacing w:before="240" w:beforeLines="0" w:after="64" w:afterLines="0" w:line="320" w:lineRule="auto"/>
      <w:outlineLvl w:val="7"/>
    </w:pPr>
    <w:rPr>
      <w:rFonts w:ascii="宋体" w:hAnsi="Courier New"/>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4"/>
    <w:qFormat/>
    <w:uiPriority w:val="0"/>
    <w:pPr>
      <w:spacing w:after="120" w:line="480" w:lineRule="auto"/>
    </w:pPr>
  </w:style>
  <w:style w:type="paragraph" w:styleId="4">
    <w:name w:val="List Continue 2"/>
    <w:basedOn w:val="5"/>
    <w:next w:val="1"/>
    <w:qFormat/>
    <w:uiPriority w:val="0"/>
    <w:pPr>
      <w:widowControl/>
      <w:spacing w:after="120" w:line="360" w:lineRule="auto"/>
      <w:ind w:left="840" w:firstLine="2048"/>
    </w:pPr>
  </w:style>
  <w:style w:type="paragraph" w:styleId="13">
    <w:name w:val="Normal Indent"/>
    <w:basedOn w:val="1"/>
    <w:qFormat/>
    <w:uiPriority w:val="0"/>
    <w:pPr>
      <w:widowControl/>
      <w:ind w:firstLine="420"/>
      <w:jc w:val="left"/>
    </w:pPr>
    <w:rPr>
      <w:kern w:val="0"/>
      <w:sz w:val="20"/>
      <w:szCs w:val="20"/>
    </w:rPr>
  </w:style>
  <w:style w:type="paragraph" w:styleId="14">
    <w:name w:val="Body Text Indent"/>
    <w:basedOn w:val="1"/>
    <w:next w:val="15"/>
    <w:qFormat/>
    <w:uiPriority w:val="0"/>
    <w:pPr>
      <w:spacing w:after="120"/>
      <w:ind w:left="420" w:leftChars="200"/>
    </w:pPr>
  </w:style>
  <w:style w:type="paragraph" w:customStyle="1" w:styleId="15">
    <w:name w:val="font5"/>
    <w:basedOn w:val="1"/>
    <w:qFormat/>
    <w:uiPriority w:val="0"/>
    <w:pPr>
      <w:widowControl/>
      <w:spacing w:before="100" w:beforeAutospacing="1" w:after="100" w:afterAutospacing="1"/>
      <w:jc w:val="left"/>
    </w:pPr>
    <w:rPr>
      <w:kern w:val="0"/>
      <w:sz w:val="24"/>
    </w:rPr>
  </w:style>
  <w:style w:type="paragraph" w:styleId="16">
    <w:name w:val="Plain Text"/>
    <w:basedOn w:val="1"/>
    <w:qFormat/>
    <w:uiPriority w:val="0"/>
    <w:rPr>
      <w:rFonts w:ascii="宋体" w:hAnsi="Courier New" w:eastAsia="宋体" w:cs="Courier New"/>
      <w:szCs w:val="21"/>
    </w:rPr>
  </w:style>
  <w:style w:type="paragraph" w:styleId="17">
    <w:name w:val="Date"/>
    <w:basedOn w:val="1"/>
    <w:next w:val="1"/>
    <w:qFormat/>
    <w:uiPriority w:val="0"/>
    <w:rPr>
      <w:rFonts w:ascii="Times New Roman" w:hAnsi="Times New Roman" w:eastAsia="宋体" w:cs="Times New Roman"/>
      <w:sz w:val="24"/>
      <w:szCs w:val="20"/>
    </w:rPr>
  </w:style>
  <w:style w:type="paragraph" w:styleId="18">
    <w:name w:val="Body Text Indent 2"/>
    <w:basedOn w:val="1"/>
    <w:qFormat/>
    <w:uiPriority w:val="0"/>
    <w:pPr>
      <w:spacing w:after="120" w:line="480" w:lineRule="auto"/>
      <w:ind w:left="420" w:leftChars="200"/>
    </w:pPr>
    <w:rPr>
      <w:rFonts w:ascii="Times New Roman" w:hAnsi="Times New Roman"/>
      <w:kern w:val="0"/>
      <w:sz w:val="20"/>
    </w:rPr>
  </w:style>
  <w:style w:type="paragraph" w:styleId="19">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24"/>
      <w:lang w:val="en-US" w:eastAsia="zh-CN" w:bidi="ar"/>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21">
    <w:name w:val="toc 2"/>
    <w:basedOn w:val="5"/>
    <w:next w:val="1"/>
    <w:unhideWhenUsed/>
    <w:qFormat/>
    <w:uiPriority w:val="39"/>
    <w:pPr>
      <w:spacing w:line="360" w:lineRule="auto"/>
      <w:ind w:left="200" w:leftChars="200"/>
    </w:pPr>
    <w:rPr>
      <w:rFonts w:eastAsia="宋体"/>
    </w:rPr>
  </w:style>
  <w:style w:type="paragraph" w:styleId="22">
    <w:name w:val="List 4"/>
    <w:next w:val="23"/>
    <w:qFormat/>
    <w:uiPriority w:val="0"/>
    <w:pPr>
      <w:spacing w:after="120" w:line="360" w:lineRule="auto"/>
      <w:ind w:left="2520" w:firstLine="3736"/>
    </w:pPr>
    <w:rPr>
      <w:rFonts w:ascii="Times New Roman" w:hAnsi="Times New Roman" w:eastAsia="宋体" w:cs="Times New Roman"/>
      <w:lang w:val="en-US" w:eastAsia="zh-CN" w:bidi="ar-SA"/>
    </w:rPr>
  </w:style>
  <w:style w:type="paragraph" w:customStyle="1" w:styleId="23">
    <w:name w:val="Mat. titre haut de page"/>
    <w:next w:val="3"/>
    <w:qFormat/>
    <w:uiPriority w:val="0"/>
    <w:pPr>
      <w:widowControl w:val="0"/>
      <w:spacing w:before="1" w:after="1"/>
      <w:ind w:left="284" w:right="1" w:firstLine="6372"/>
    </w:pPr>
    <w:rPr>
      <w:rFonts w:ascii="Times New Roman" w:hAnsi="Times New Roman" w:eastAsia="宋体" w:cs="Times New Roman"/>
      <w:lang w:val="en-US" w:eastAsia="zh-CN" w:bidi="ar-SA"/>
    </w:rPr>
  </w:style>
  <w:style w:type="paragraph" w:styleId="2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6">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27">
    <w:name w:val="Body Text First Indent"/>
    <w:basedOn w:val="2"/>
    <w:qFormat/>
    <w:uiPriority w:val="0"/>
    <w:pPr>
      <w:ind w:firstLine="420" w:firstLineChars="100"/>
    </w:pPr>
  </w:style>
  <w:style w:type="paragraph" w:styleId="28">
    <w:name w:val="Body Text First Indent 2"/>
    <w:basedOn w:val="14"/>
    <w:next w:val="13"/>
    <w:qFormat/>
    <w:uiPriority w:val="0"/>
    <w:pPr>
      <w:tabs>
        <w:tab w:val="left" w:pos="945"/>
        <w:tab w:val="left" w:pos="1155"/>
      </w:tabs>
      <w:ind w:firstLine="420" w:firstLineChars="200"/>
    </w:pPr>
  </w:style>
  <w:style w:type="table" w:styleId="30">
    <w:name w:val="Table Grid"/>
    <w:basedOn w:val="2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bCs/>
    </w:rPr>
  </w:style>
  <w:style w:type="character" w:styleId="33">
    <w:name w:val="FollowedHyperlink"/>
    <w:basedOn w:val="31"/>
    <w:qFormat/>
    <w:uiPriority w:val="0"/>
    <w:rPr>
      <w:color w:val="800080"/>
      <w:u w:val="none"/>
    </w:rPr>
  </w:style>
  <w:style w:type="character" w:styleId="34">
    <w:name w:val="HTML Definition"/>
    <w:basedOn w:val="31"/>
    <w:qFormat/>
    <w:uiPriority w:val="0"/>
  </w:style>
  <w:style w:type="character" w:styleId="35">
    <w:name w:val="HTML Typewriter"/>
    <w:basedOn w:val="31"/>
    <w:qFormat/>
    <w:uiPriority w:val="0"/>
    <w:rPr>
      <w:rFonts w:hint="default" w:ascii="monospace" w:hAnsi="monospace" w:eastAsia="monospace" w:cs="monospace"/>
      <w:sz w:val="20"/>
    </w:rPr>
  </w:style>
  <w:style w:type="character" w:styleId="36">
    <w:name w:val="HTML Acronym"/>
    <w:basedOn w:val="31"/>
    <w:qFormat/>
    <w:uiPriority w:val="0"/>
  </w:style>
  <w:style w:type="character" w:styleId="37">
    <w:name w:val="HTML Variable"/>
    <w:basedOn w:val="31"/>
    <w:qFormat/>
    <w:uiPriority w:val="0"/>
  </w:style>
  <w:style w:type="character" w:styleId="38">
    <w:name w:val="Hyperlink"/>
    <w:qFormat/>
    <w:uiPriority w:val="99"/>
    <w:rPr>
      <w:color w:val="136EC2"/>
      <w:u w:val="single"/>
    </w:rPr>
  </w:style>
  <w:style w:type="character" w:styleId="39">
    <w:name w:val="HTML Code"/>
    <w:basedOn w:val="31"/>
    <w:qFormat/>
    <w:uiPriority w:val="0"/>
    <w:rPr>
      <w:rFonts w:ascii="monospace" w:hAnsi="monospace" w:eastAsia="monospace" w:cs="monospace"/>
      <w:sz w:val="20"/>
    </w:rPr>
  </w:style>
  <w:style w:type="character" w:styleId="40">
    <w:name w:val="HTML Cite"/>
    <w:basedOn w:val="31"/>
    <w:qFormat/>
    <w:uiPriority w:val="0"/>
  </w:style>
  <w:style w:type="character" w:styleId="41">
    <w:name w:val="HTML Keyboard"/>
    <w:basedOn w:val="31"/>
    <w:qFormat/>
    <w:uiPriority w:val="0"/>
    <w:rPr>
      <w:rFonts w:hint="default" w:ascii="monospace" w:hAnsi="monospace" w:eastAsia="monospace" w:cs="monospace"/>
      <w:sz w:val="20"/>
    </w:rPr>
  </w:style>
  <w:style w:type="character" w:styleId="42">
    <w:name w:val="HTML Sample"/>
    <w:basedOn w:val="31"/>
    <w:qFormat/>
    <w:uiPriority w:val="0"/>
    <w:rPr>
      <w:rFonts w:hint="default" w:ascii="monospace" w:hAnsi="monospace" w:eastAsia="monospace" w:cs="monospace"/>
    </w:rPr>
  </w:style>
  <w:style w:type="paragraph" w:customStyle="1" w:styleId="43">
    <w:name w:val="Body Text First Indent 21"/>
    <w:basedOn w:val="44"/>
    <w:next w:val="46"/>
    <w:qFormat/>
    <w:uiPriority w:val="0"/>
    <w:pPr>
      <w:ind w:firstLine="420" w:firstLineChars="200"/>
    </w:pPr>
  </w:style>
  <w:style w:type="paragraph" w:customStyle="1" w:styleId="44">
    <w:name w:val="Body Text Indent1"/>
    <w:basedOn w:val="1"/>
    <w:next w:val="45"/>
    <w:qFormat/>
    <w:uiPriority w:val="0"/>
    <w:pPr>
      <w:spacing w:after="120" w:afterLines="0"/>
      <w:ind w:left="420" w:leftChars="200"/>
    </w:pPr>
  </w:style>
  <w:style w:type="paragraph" w:customStyle="1" w:styleId="45">
    <w:name w:val="Body Text Indent 21"/>
    <w:basedOn w:val="1"/>
    <w:qFormat/>
    <w:uiPriority w:val="0"/>
    <w:pPr>
      <w:spacing w:after="120" w:afterLines="0" w:line="480" w:lineRule="auto"/>
      <w:ind w:left="420" w:leftChars="200"/>
    </w:pPr>
    <w:rPr>
      <w:rFonts w:ascii="Times New Roman" w:hAnsi="Times New Roman" w:eastAsia="宋体" w:cs="Times New Roman"/>
      <w:szCs w:val="24"/>
    </w:rPr>
  </w:style>
  <w:style w:type="paragraph" w:customStyle="1" w:styleId="46">
    <w:name w:val="Normal Indent1"/>
    <w:basedOn w:val="1"/>
    <w:qFormat/>
    <w:uiPriority w:val="0"/>
    <w:pPr>
      <w:widowControl/>
      <w:ind w:firstLine="420"/>
      <w:jc w:val="left"/>
    </w:pPr>
    <w:rPr>
      <w:kern w:val="0"/>
      <w:sz w:val="20"/>
      <w:szCs w:val="20"/>
    </w:rPr>
  </w:style>
  <w:style w:type="paragraph" w:customStyle="1" w:styleId="47">
    <w:name w:val="Default"/>
    <w:next w:val="1"/>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8">
    <w:name w:val="样式2"/>
    <w:basedOn w:val="20"/>
    <w:next w:val="1"/>
    <w:qFormat/>
    <w:uiPriority w:val="99"/>
    <w:pPr>
      <w:pBdr>
        <w:bottom w:val="thickThinSmallGap" w:color="auto" w:sz="24" w:space="1"/>
      </w:pBdr>
      <w:jc w:val="both"/>
    </w:pPr>
    <w:rPr>
      <w:rFonts w:ascii="宋体" w:hAnsi="宋体"/>
      <w:kern w:val="0"/>
    </w:rPr>
  </w:style>
  <w:style w:type="paragraph" w:customStyle="1" w:styleId="49">
    <w:name w:val="CM16"/>
    <w:next w:val="50"/>
    <w:qFormat/>
    <w:uiPriority w:val="0"/>
    <w:pPr>
      <w:widowControl w:val="0"/>
      <w:autoSpaceDE w:val="0"/>
      <w:autoSpaceDN w:val="0"/>
      <w:spacing w:after="208"/>
      <w:ind w:firstLine="5632"/>
    </w:pPr>
    <w:rPr>
      <w:rFonts w:ascii="Times New Roman" w:hAnsi="Times New Roman" w:eastAsia="宋体" w:cs="Times New Roman"/>
      <w:lang w:val="en-US" w:eastAsia="zh-CN" w:bidi="ar-SA"/>
    </w:rPr>
  </w:style>
  <w:style w:type="paragraph" w:customStyle="1" w:styleId="50">
    <w:name w:val="sleftnavsub"/>
    <w:basedOn w:val="5"/>
    <w:next w:val="51"/>
    <w:qFormat/>
    <w:uiPriority w:val="0"/>
    <w:pPr>
      <w:widowControl/>
      <w:spacing w:before="280" w:after="280" w:line="240" w:lineRule="atLeast"/>
      <w:ind w:firstLine="5120"/>
    </w:pPr>
  </w:style>
  <w:style w:type="paragraph" w:customStyle="1" w:styleId="51">
    <w:name w:val="正文文本缩进1"/>
    <w:basedOn w:val="5"/>
    <w:next w:val="21"/>
    <w:qFormat/>
    <w:uiPriority w:val="0"/>
    <w:pPr>
      <w:widowControl/>
      <w:ind w:left="360" w:firstLine="2664"/>
    </w:pPr>
  </w:style>
  <w:style w:type="paragraph" w:customStyle="1" w:styleId="52">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53">
    <w:name w:val="p0"/>
    <w:basedOn w:val="1"/>
    <w:qFormat/>
    <w:uiPriority w:val="0"/>
    <w:pPr>
      <w:widowControl/>
    </w:pPr>
    <w:rPr>
      <w:rFonts w:ascii="Times New Roman" w:hAnsi="Times New Roman" w:eastAsia="宋体" w:cs="Times New Roman"/>
      <w:kern w:val="0"/>
      <w:szCs w:val="21"/>
    </w:rPr>
  </w:style>
  <w:style w:type="paragraph" w:styleId="54">
    <w:name w:val="List Paragraph"/>
    <w:basedOn w:val="1"/>
    <w:qFormat/>
    <w:uiPriority w:val="34"/>
    <w:pPr>
      <w:ind w:firstLine="420" w:firstLineChars="200"/>
    </w:pPr>
  </w:style>
  <w:style w:type="paragraph" w:customStyle="1" w:styleId="55">
    <w:name w:val="BodyText1I2"/>
    <w:basedOn w:val="56"/>
    <w:qFormat/>
    <w:uiPriority w:val="0"/>
    <w:pPr>
      <w:tabs>
        <w:tab w:val="left" w:pos="720"/>
      </w:tabs>
      <w:spacing w:after="120"/>
      <w:ind w:left="420" w:leftChars="200" w:firstLine="420"/>
    </w:pPr>
    <w:rPr>
      <w:sz w:val="21"/>
    </w:rPr>
  </w:style>
  <w:style w:type="paragraph" w:customStyle="1" w:styleId="56">
    <w:name w:val="BodyTextIndent"/>
    <w:basedOn w:val="1"/>
    <w:next w:val="55"/>
    <w:qFormat/>
    <w:uiPriority w:val="0"/>
    <w:pPr>
      <w:widowControl/>
      <w:spacing w:line="720" w:lineRule="exact"/>
      <w:ind w:firstLine="601"/>
      <w:jc w:val="left"/>
    </w:pPr>
    <w:rPr>
      <w:rFonts w:ascii="宋体" w:hAnsi="宋体"/>
      <w:sz w:val="24"/>
    </w:rPr>
  </w:style>
  <w:style w:type="paragraph" w:customStyle="1" w:styleId="57">
    <w:name w:val="Table Paragraph"/>
    <w:basedOn w:val="1"/>
    <w:qFormat/>
    <w:uiPriority w:val="1"/>
    <w:rPr>
      <w:rFonts w:ascii="微软雅黑" w:hAnsi="微软雅黑" w:eastAsia="微软雅黑" w:cs="微软雅黑"/>
      <w:lang w:val="zh-CN" w:eastAsia="zh-CN" w:bidi="zh-CN"/>
    </w:rPr>
  </w:style>
  <w:style w:type="paragraph" w:customStyle="1" w:styleId="58">
    <w:name w:val="Retrait 1"/>
    <w:basedOn w:val="1"/>
    <w:qFormat/>
    <w:uiPriority w:val="0"/>
    <w:pPr>
      <w:widowControl/>
      <w:overflowPunct w:val="0"/>
      <w:autoSpaceDE w:val="0"/>
      <w:autoSpaceDN w:val="0"/>
      <w:adjustRightInd w:val="0"/>
      <w:spacing w:before="120" w:line="360" w:lineRule="auto"/>
      <w:ind w:left="851"/>
      <w:textAlignment w:val="baseline"/>
    </w:pPr>
    <w:rPr>
      <w:rFonts w:ascii="Arial" w:hAnsi="Arial" w:eastAsia="宋体" w:cs="Times New Roman"/>
      <w:kern w:val="0"/>
      <w:sz w:val="20"/>
      <w:szCs w:val="20"/>
      <w:lang w:val="en-GB"/>
    </w:rPr>
  </w:style>
  <w:style w:type="paragraph" w:customStyle="1" w:styleId="59">
    <w:name w:val="文档正文"/>
    <w:basedOn w:val="1"/>
    <w:qFormat/>
    <w:uiPriority w:val="0"/>
    <w:pPr>
      <w:adjustRightInd w:val="0"/>
      <w:spacing w:line="312" w:lineRule="atLeast"/>
      <w:ind w:firstLine="567"/>
      <w:textAlignment w:val="baseline"/>
    </w:pPr>
    <w:rPr>
      <w:rFonts w:ascii="长城仿宋" w:hAnsi="Calibri" w:eastAsia="长城仿宋" w:cs="Times New Roman"/>
      <w:kern w:val="0"/>
      <w:sz w:val="28"/>
      <w:szCs w:val="20"/>
    </w:rPr>
  </w:style>
  <w:style w:type="character" w:customStyle="1" w:styleId="60">
    <w:name w:val="font81"/>
    <w:basedOn w:val="31"/>
    <w:qFormat/>
    <w:uiPriority w:val="0"/>
    <w:rPr>
      <w:rFonts w:hint="default" w:ascii="Times New Roman" w:hAnsi="Times New Roman" w:cs="Times New Roman"/>
      <w:color w:val="000000"/>
      <w:sz w:val="21"/>
      <w:szCs w:val="21"/>
      <w:u w:val="none"/>
    </w:rPr>
  </w:style>
  <w:style w:type="character" w:customStyle="1" w:styleId="61">
    <w:name w:val="font71"/>
    <w:basedOn w:val="31"/>
    <w:qFormat/>
    <w:uiPriority w:val="0"/>
    <w:rPr>
      <w:rFonts w:hint="eastAsia" w:ascii="宋体" w:hAnsi="宋体" w:eastAsia="宋体" w:cs="宋体"/>
      <w:color w:val="000000"/>
      <w:sz w:val="20"/>
      <w:szCs w:val="20"/>
      <w:u w:val="none"/>
    </w:rPr>
  </w:style>
  <w:style w:type="character" w:customStyle="1" w:styleId="62">
    <w:name w:val="font31"/>
    <w:basedOn w:val="31"/>
    <w:qFormat/>
    <w:uiPriority w:val="0"/>
    <w:rPr>
      <w:rFonts w:ascii="Calibri" w:hAnsi="Calibri" w:cs="Calibri"/>
      <w:color w:val="000000"/>
      <w:sz w:val="18"/>
      <w:szCs w:val="18"/>
      <w:u w:val="none"/>
    </w:rPr>
  </w:style>
  <w:style w:type="character" w:customStyle="1" w:styleId="63">
    <w:name w:val="font41"/>
    <w:basedOn w:val="31"/>
    <w:qFormat/>
    <w:uiPriority w:val="0"/>
    <w:rPr>
      <w:rFonts w:hint="eastAsia" w:ascii="宋体" w:hAnsi="宋体" w:eastAsia="宋体" w:cs="宋体"/>
      <w:color w:val="000000"/>
      <w:sz w:val="21"/>
      <w:szCs w:val="21"/>
      <w:u w:val="none"/>
    </w:rPr>
  </w:style>
  <w:style w:type="paragraph" w:customStyle="1" w:styleId="64">
    <w:name w:val="列出段落1"/>
    <w:basedOn w:val="1"/>
    <w:next w:val="65"/>
    <w:qFormat/>
    <w:uiPriority w:val="34"/>
    <w:pPr>
      <w:ind w:firstLine="420" w:firstLineChars="200"/>
    </w:pPr>
    <w:rPr>
      <w:color w:val="595959"/>
    </w:rPr>
  </w:style>
  <w:style w:type="paragraph" w:customStyle="1" w:styleId="65">
    <w:name w:val="Style26"/>
    <w:basedOn w:val="1"/>
    <w:next w:val="14"/>
    <w:unhideWhenUsed/>
    <w:qFormat/>
    <w:uiPriority w:val="0"/>
    <w:rPr>
      <w:szCs w:val="24"/>
    </w:rPr>
  </w:style>
  <w:style w:type="paragraph" w:customStyle="1" w:styleId="66">
    <w:name w:val="正_表格"/>
    <w:basedOn w:val="1"/>
    <w:qFormat/>
    <w:uiPriority w:val="0"/>
    <w:pPr>
      <w:tabs>
        <w:tab w:val="left" w:pos="4876"/>
      </w:tabs>
      <w:jc w:val="center"/>
      <w:textAlignment w:val="center"/>
    </w:pPr>
    <w:rPr>
      <w:rFonts w:ascii="仿宋_GB2312" w:hAnsi="Calibri" w:eastAsia="仿宋_GB2312"/>
      <w:szCs w:val="21"/>
    </w:rPr>
  </w:style>
  <w:style w:type="character" w:customStyle="1" w:styleId="67">
    <w:name w:val="cur1"/>
    <w:basedOn w:val="31"/>
    <w:qFormat/>
    <w:uiPriority w:val="0"/>
    <w:rPr>
      <w:color w:val="FF9C00"/>
    </w:rPr>
  </w:style>
  <w:style w:type="paragraph" w:customStyle="1" w:styleId="68">
    <w:name w:val="正文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69">
    <w:name w:val="删除标红 字符"/>
    <w:basedOn w:val="31"/>
    <w:link w:val="70"/>
    <w:qFormat/>
    <w:uiPriority w:val="0"/>
    <w:rPr>
      <w:rFonts w:hAnsi="宋体"/>
      <w:strike/>
      <w:color w:val="FF0000"/>
      <w:szCs w:val="21"/>
    </w:rPr>
  </w:style>
  <w:style w:type="paragraph" w:customStyle="1" w:styleId="70">
    <w:name w:val="删除标红"/>
    <w:basedOn w:val="1"/>
    <w:link w:val="69"/>
    <w:qFormat/>
    <w:uiPriority w:val="0"/>
    <w:pPr>
      <w:spacing w:line="360" w:lineRule="auto"/>
    </w:pPr>
    <w:rPr>
      <w:rFonts w:hAnsi="宋体"/>
      <w:strike/>
      <w:color w:val="FF0000"/>
      <w:szCs w:val="21"/>
    </w:rPr>
  </w:style>
  <w:style w:type="character" w:customStyle="1" w:styleId="71">
    <w:name w:val="标题 1 Char"/>
    <w:link w:val="5"/>
    <w:qFormat/>
    <w:uiPriority w:val="0"/>
    <w:rPr>
      <w:b/>
      <w:bCs/>
      <w:sz w:val="24"/>
      <w:szCs w:val="20"/>
    </w:rPr>
  </w:style>
  <w:style w:type="character" w:customStyle="1" w:styleId="72">
    <w:name w:val="标题 2 Char"/>
    <w:link w:val="6"/>
    <w:qFormat/>
    <w:uiPriority w:val="9"/>
    <w:rPr>
      <w:rFonts w:ascii="Arial" w:hAnsi="Arial"/>
      <w:sz w:val="24"/>
      <w:szCs w:val="32"/>
    </w:rPr>
  </w:style>
  <w:style w:type="paragraph" w:customStyle="1" w:styleId="73">
    <w:name w:val="1"/>
    <w:basedOn w:val="74"/>
    <w:next w:val="14"/>
    <w:qFormat/>
    <w:uiPriority w:val="0"/>
    <w:pPr>
      <w:spacing w:afterLines="50" w:line="360" w:lineRule="auto"/>
    </w:pPr>
    <w:rPr>
      <w:rFonts w:ascii="宋体" w:hAnsi="宋体"/>
      <w:b/>
      <w:sz w:val="30"/>
      <w:szCs w:val="21"/>
    </w:rPr>
  </w:style>
  <w:style w:type="paragraph" w:customStyle="1" w:styleId="7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5">
    <w:name w:val="Table Normal"/>
    <w:semiHidden/>
    <w:unhideWhenUsed/>
    <w:qFormat/>
    <w:uiPriority w:val="0"/>
    <w:tblPr>
      <w:tblCellMar>
        <w:top w:w="0" w:type="dxa"/>
        <w:left w:w="0" w:type="dxa"/>
        <w:bottom w:w="0" w:type="dxa"/>
        <w:right w:w="0" w:type="dxa"/>
      </w:tblCellMar>
    </w:tblPr>
  </w:style>
  <w:style w:type="paragraph" w:styleId="76">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77">
    <w:name w:val="font11"/>
    <w:basedOn w:val="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37794</Words>
  <Characters>39523</Characters>
  <Lines>0</Lines>
  <Paragraphs>0</Paragraphs>
  <TotalTime>24</TotalTime>
  <ScaleCrop>false</ScaleCrop>
  <LinksUpToDate>false</LinksUpToDate>
  <CharactersWithSpaces>42669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2020-06-22T00:42:00Z</dcterms:created>
  <dc:creator>lenovo</dc:creator>
  <cp:lastModifiedBy>wangzhe</cp:lastModifiedBy>
  <cp:lastPrinted>2022-05-23T01:20:00Z</cp:lastPrinted>
  <dcterms:modified xsi:type="dcterms:W3CDTF">2023-10-25T09:13:24Z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A62A5CBCD5A1417FBD64ACE368C13FEF</vt:lpwstr>
  </property>
</Properties>
</file>